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E1" w:rsidRPr="00467444" w:rsidRDefault="009B49E1" w:rsidP="009B49E1">
      <w:pPr>
        <w:spacing w:after="120"/>
        <w:jc w:val="both"/>
        <w:rPr>
          <w:rFonts w:ascii="Garamond" w:hAnsi="Garamond"/>
          <w:sz w:val="22"/>
          <w:szCs w:val="22"/>
          <w:lang w:val="en-US"/>
        </w:rPr>
      </w:pPr>
      <w:r w:rsidRPr="007D6137">
        <w:rPr>
          <w:rFonts w:ascii="Garamond" w:hAnsi="Garamond"/>
          <w:b/>
          <w:sz w:val="22"/>
          <w:szCs w:val="22"/>
          <w:lang w:val="el-GR"/>
        </w:rPr>
        <w:t>Επιστημονικό</w:t>
      </w:r>
      <w:r w:rsidRPr="005C4E01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7D6137">
        <w:rPr>
          <w:rFonts w:ascii="Garamond" w:hAnsi="Garamond"/>
          <w:b/>
          <w:sz w:val="22"/>
          <w:szCs w:val="22"/>
          <w:lang w:val="el-GR"/>
        </w:rPr>
        <w:t>Περιοδικό</w:t>
      </w:r>
      <w:r w:rsidRPr="005C4E01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467444">
        <w:rPr>
          <w:rFonts w:ascii="Garamond" w:hAnsi="Garamond"/>
          <w:sz w:val="22"/>
          <w:szCs w:val="22"/>
          <w:lang w:val="en-US"/>
        </w:rPr>
        <w:t>(Journal)</w:t>
      </w:r>
    </w:p>
    <w:p w:rsidR="009B49E1" w:rsidRPr="007D6137" w:rsidRDefault="009B49E1" w:rsidP="009B49E1">
      <w:pPr>
        <w:spacing w:after="120"/>
        <w:ind w:left="1134" w:hanging="1134"/>
        <w:jc w:val="both"/>
        <w:rPr>
          <w:rFonts w:ascii="Garamond" w:hAnsi="Garamond"/>
          <w:sz w:val="22"/>
          <w:szCs w:val="22"/>
          <w:lang w:val="en-US"/>
        </w:rPr>
      </w:pPr>
      <w:r w:rsidRPr="007D6137">
        <w:rPr>
          <w:rFonts w:ascii="Garamond" w:hAnsi="Garamond"/>
          <w:sz w:val="22"/>
          <w:szCs w:val="22"/>
          <w:lang w:val="en-US"/>
        </w:rPr>
        <w:t>[Tru-08]</w:t>
      </w:r>
      <w:r w:rsidRPr="007D6137">
        <w:rPr>
          <w:rFonts w:ascii="Garamond" w:hAnsi="Garamond"/>
          <w:sz w:val="22"/>
          <w:szCs w:val="22"/>
          <w:lang w:val="en-US"/>
        </w:rPr>
        <w:tab/>
      </w:r>
      <w:proofErr w:type="spellStart"/>
      <w:r w:rsidRPr="007D6137">
        <w:rPr>
          <w:rFonts w:ascii="Garamond" w:hAnsi="Garamond"/>
          <w:sz w:val="22"/>
          <w:szCs w:val="22"/>
          <w:lang w:val="en-US"/>
        </w:rPr>
        <w:t>Trucco</w:t>
      </w:r>
      <w:proofErr w:type="spellEnd"/>
      <w:r w:rsidRPr="007D6137">
        <w:rPr>
          <w:rFonts w:ascii="Garamond" w:hAnsi="Garamond"/>
          <w:sz w:val="22"/>
          <w:szCs w:val="22"/>
          <w:lang w:val="en-US"/>
        </w:rPr>
        <w:t xml:space="preserve"> P., </w:t>
      </w:r>
      <w:proofErr w:type="spellStart"/>
      <w:r w:rsidRPr="007D6137">
        <w:rPr>
          <w:rFonts w:ascii="Garamond" w:hAnsi="Garamond"/>
          <w:sz w:val="22"/>
          <w:szCs w:val="22"/>
          <w:lang w:val="en-US"/>
        </w:rPr>
        <w:t>Cagno</w:t>
      </w:r>
      <w:proofErr w:type="spellEnd"/>
      <w:r w:rsidRPr="007D6137">
        <w:rPr>
          <w:rFonts w:ascii="Garamond" w:hAnsi="Garamond"/>
          <w:sz w:val="22"/>
          <w:szCs w:val="22"/>
          <w:lang w:val="en-US"/>
        </w:rPr>
        <w:t xml:space="preserve"> E., Ruggeri F., Grande O., “A Bayesian Belief Network </w:t>
      </w:r>
      <w:proofErr w:type="spellStart"/>
      <w:r w:rsidRPr="007D6137">
        <w:rPr>
          <w:rFonts w:ascii="Garamond" w:hAnsi="Garamond"/>
          <w:sz w:val="22"/>
          <w:szCs w:val="22"/>
          <w:lang w:val="en-US"/>
        </w:rPr>
        <w:t>modelling</w:t>
      </w:r>
      <w:proofErr w:type="spellEnd"/>
      <w:r w:rsidRPr="007D6137">
        <w:rPr>
          <w:rFonts w:ascii="Garamond" w:hAnsi="Garamond"/>
          <w:sz w:val="22"/>
          <w:szCs w:val="22"/>
          <w:lang w:val="en-US"/>
        </w:rPr>
        <w:t xml:space="preserve"> of </w:t>
      </w:r>
      <w:proofErr w:type="spellStart"/>
      <w:r w:rsidRPr="007D6137">
        <w:rPr>
          <w:rFonts w:ascii="Garamond" w:hAnsi="Garamond"/>
          <w:sz w:val="22"/>
          <w:szCs w:val="22"/>
          <w:lang w:val="en-US"/>
        </w:rPr>
        <w:t>or</w:t>
      </w:r>
      <w:r w:rsidRPr="007D6137">
        <w:rPr>
          <w:rFonts w:ascii="Garamond" w:hAnsi="Garamond"/>
          <w:sz w:val="22"/>
          <w:szCs w:val="22"/>
          <w:lang w:val="en-US"/>
        </w:rPr>
        <w:softHyphen/>
        <w:t>ga</w:t>
      </w:r>
      <w:r w:rsidRPr="007D6137">
        <w:rPr>
          <w:rFonts w:ascii="Garamond" w:hAnsi="Garamond"/>
          <w:sz w:val="22"/>
          <w:szCs w:val="22"/>
          <w:lang w:val="en-US"/>
        </w:rPr>
        <w:softHyphen/>
      </w:r>
      <w:r w:rsidRPr="007D6137">
        <w:rPr>
          <w:rFonts w:ascii="Garamond" w:hAnsi="Garamond"/>
          <w:sz w:val="22"/>
          <w:szCs w:val="22"/>
          <w:lang w:val="en-US"/>
        </w:rPr>
        <w:softHyphen/>
        <w:t>nisational</w:t>
      </w:r>
      <w:proofErr w:type="spellEnd"/>
      <w:r w:rsidRPr="007D6137">
        <w:rPr>
          <w:rFonts w:ascii="Garamond" w:hAnsi="Garamond"/>
          <w:sz w:val="22"/>
          <w:szCs w:val="22"/>
          <w:lang w:val="en-US"/>
        </w:rPr>
        <w:t xml:space="preserve"> factors in risk analysis: A case study in maritime transportation”, </w:t>
      </w:r>
      <w:r w:rsidRPr="007D6137">
        <w:rPr>
          <w:rFonts w:ascii="Garamond" w:hAnsi="Garamond"/>
          <w:i/>
          <w:sz w:val="22"/>
          <w:szCs w:val="22"/>
          <w:lang w:val="en-US"/>
        </w:rPr>
        <w:t>Reliability En</w:t>
      </w:r>
      <w:r w:rsidRPr="007D6137">
        <w:rPr>
          <w:rFonts w:ascii="Garamond" w:hAnsi="Garamond"/>
          <w:i/>
          <w:sz w:val="22"/>
          <w:szCs w:val="22"/>
          <w:lang w:val="en-US"/>
        </w:rPr>
        <w:softHyphen/>
        <w:t>gi</w:t>
      </w:r>
      <w:r w:rsidRPr="007D6137">
        <w:rPr>
          <w:rFonts w:ascii="Garamond" w:hAnsi="Garamond"/>
          <w:i/>
          <w:sz w:val="22"/>
          <w:szCs w:val="22"/>
          <w:lang w:val="en-US"/>
        </w:rPr>
        <w:softHyphen/>
        <w:t>neering &amp; System Safety</w:t>
      </w:r>
      <w:r w:rsidRPr="007D6137">
        <w:rPr>
          <w:rFonts w:ascii="Garamond" w:hAnsi="Garamond"/>
          <w:sz w:val="22"/>
          <w:szCs w:val="22"/>
          <w:lang w:val="en-US"/>
        </w:rPr>
        <w:t xml:space="preserve">, Vol. 93, No. 6, pp. 845-856, June 2008. </w:t>
      </w:r>
    </w:p>
    <w:p w:rsidR="009B49E1" w:rsidRPr="005C4E01" w:rsidRDefault="009B49E1" w:rsidP="009B49E1">
      <w:pPr>
        <w:spacing w:after="120"/>
        <w:jc w:val="both"/>
        <w:rPr>
          <w:rFonts w:ascii="Garamond" w:hAnsi="Garamond"/>
          <w:b/>
          <w:sz w:val="22"/>
          <w:szCs w:val="22"/>
          <w:lang w:val="en-US"/>
        </w:rPr>
      </w:pPr>
      <w:r w:rsidRPr="007D6137">
        <w:rPr>
          <w:rFonts w:ascii="Garamond" w:hAnsi="Garamond"/>
          <w:b/>
          <w:sz w:val="22"/>
          <w:szCs w:val="22"/>
          <w:lang w:val="el-GR"/>
        </w:rPr>
        <w:t>Επιστημονικό</w:t>
      </w:r>
      <w:r w:rsidRPr="005C4E01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7D6137">
        <w:rPr>
          <w:rFonts w:ascii="Garamond" w:hAnsi="Garamond"/>
          <w:b/>
          <w:sz w:val="22"/>
          <w:szCs w:val="22"/>
          <w:lang w:val="el-GR"/>
        </w:rPr>
        <w:t>Συνέδριο</w:t>
      </w:r>
      <w:r w:rsidRPr="005C4E01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467444">
        <w:rPr>
          <w:rFonts w:ascii="Garamond" w:hAnsi="Garamond"/>
          <w:sz w:val="22"/>
          <w:szCs w:val="22"/>
          <w:lang w:val="en-US"/>
        </w:rPr>
        <w:t>(Conference)</w:t>
      </w:r>
    </w:p>
    <w:p w:rsidR="009B49E1" w:rsidRPr="007D6137" w:rsidRDefault="009B49E1" w:rsidP="009B49E1">
      <w:pPr>
        <w:spacing w:after="120"/>
        <w:ind w:left="1134" w:hanging="1134"/>
        <w:jc w:val="both"/>
        <w:rPr>
          <w:rFonts w:ascii="Garamond" w:hAnsi="Garamond"/>
          <w:sz w:val="22"/>
          <w:szCs w:val="22"/>
          <w:lang w:val="en-US"/>
        </w:rPr>
      </w:pPr>
      <w:r w:rsidRPr="007D6137">
        <w:rPr>
          <w:rFonts w:ascii="Garamond" w:hAnsi="Garamond"/>
          <w:sz w:val="22"/>
          <w:szCs w:val="22"/>
          <w:lang w:val="en-US"/>
        </w:rPr>
        <w:t>[The-09]</w:t>
      </w:r>
      <w:r w:rsidRPr="007D6137">
        <w:rPr>
          <w:rFonts w:ascii="Garamond" w:hAnsi="Garamond"/>
          <w:sz w:val="22"/>
          <w:szCs w:val="22"/>
          <w:lang w:val="en-US"/>
        </w:rPr>
        <w:tab/>
      </w:r>
      <w:proofErr w:type="spellStart"/>
      <w:r w:rsidRPr="007D6137">
        <w:rPr>
          <w:rFonts w:ascii="Garamond" w:hAnsi="Garamond"/>
          <w:sz w:val="22"/>
          <w:szCs w:val="22"/>
          <w:lang w:val="en-US"/>
        </w:rPr>
        <w:t>Theoharidou</w:t>
      </w:r>
      <w:proofErr w:type="spellEnd"/>
      <w:r w:rsidRPr="007D6137">
        <w:rPr>
          <w:rFonts w:ascii="Garamond" w:hAnsi="Garamond"/>
          <w:sz w:val="22"/>
          <w:szCs w:val="22"/>
          <w:lang w:val="en-US"/>
        </w:rPr>
        <w:t xml:space="preserve"> M., </w:t>
      </w:r>
      <w:proofErr w:type="spellStart"/>
      <w:r w:rsidRPr="007D6137">
        <w:rPr>
          <w:rFonts w:ascii="Garamond" w:hAnsi="Garamond"/>
          <w:sz w:val="22"/>
          <w:szCs w:val="22"/>
          <w:lang w:val="en-US"/>
        </w:rPr>
        <w:t>Kotzanikolaou</w:t>
      </w:r>
      <w:proofErr w:type="spellEnd"/>
      <w:r w:rsidRPr="007D6137">
        <w:rPr>
          <w:rFonts w:ascii="Garamond" w:hAnsi="Garamond"/>
          <w:sz w:val="22"/>
          <w:szCs w:val="22"/>
          <w:lang w:val="en-US"/>
        </w:rPr>
        <w:t xml:space="preserve"> P., </w:t>
      </w:r>
      <w:proofErr w:type="spellStart"/>
      <w:r w:rsidRPr="007D6137">
        <w:rPr>
          <w:rFonts w:ascii="Garamond" w:hAnsi="Garamond"/>
          <w:sz w:val="22"/>
          <w:szCs w:val="22"/>
          <w:lang w:val="en-US"/>
        </w:rPr>
        <w:t>Gritzalis</w:t>
      </w:r>
      <w:proofErr w:type="spellEnd"/>
      <w:r w:rsidRPr="007D6137">
        <w:rPr>
          <w:rFonts w:ascii="Garamond" w:hAnsi="Garamond"/>
          <w:sz w:val="22"/>
          <w:szCs w:val="22"/>
          <w:lang w:val="en-US"/>
        </w:rPr>
        <w:t xml:space="preserve"> D., “Risk-Based Criticality Analysis”, in </w:t>
      </w:r>
      <w:r w:rsidRPr="007D6137">
        <w:rPr>
          <w:rFonts w:ascii="Garamond" w:hAnsi="Garamond"/>
          <w:i/>
          <w:sz w:val="22"/>
          <w:szCs w:val="22"/>
          <w:lang w:val="en-US"/>
        </w:rPr>
        <w:t>Proc. of the 3</w:t>
      </w:r>
      <w:r w:rsidRPr="007D6137">
        <w:rPr>
          <w:rFonts w:ascii="Garamond" w:hAnsi="Garamond"/>
          <w:i/>
          <w:sz w:val="22"/>
          <w:szCs w:val="22"/>
          <w:vertAlign w:val="superscript"/>
          <w:lang w:val="en-US"/>
        </w:rPr>
        <w:t>rd</w:t>
      </w:r>
      <w:r w:rsidRPr="007D6137">
        <w:rPr>
          <w:rFonts w:ascii="Garamond" w:hAnsi="Garamond"/>
          <w:i/>
          <w:sz w:val="22"/>
          <w:szCs w:val="22"/>
          <w:lang w:val="en-US"/>
        </w:rPr>
        <w:t xml:space="preserve"> IFIP Conference on Advances in Information and Communication Technology Critical I</w:t>
      </w:r>
      <w:r w:rsidRPr="007D6137">
        <w:rPr>
          <w:rFonts w:ascii="Garamond" w:hAnsi="Garamond"/>
          <w:i/>
          <w:sz w:val="22"/>
          <w:szCs w:val="22"/>
          <w:lang w:val="en-US"/>
        </w:rPr>
        <w:softHyphen/>
        <w:t>n</w:t>
      </w:r>
      <w:r w:rsidRPr="007D6137">
        <w:rPr>
          <w:rFonts w:ascii="Garamond" w:hAnsi="Garamond"/>
          <w:i/>
          <w:sz w:val="22"/>
          <w:szCs w:val="22"/>
          <w:lang w:val="en-US"/>
        </w:rPr>
        <w:softHyphen/>
        <w:t>fra</w:t>
      </w:r>
      <w:r w:rsidRPr="007D6137">
        <w:rPr>
          <w:rFonts w:ascii="Garamond" w:hAnsi="Garamond"/>
          <w:i/>
          <w:sz w:val="22"/>
          <w:szCs w:val="22"/>
          <w:lang w:val="en-US"/>
        </w:rPr>
        <w:softHyphen/>
        <w:t>s</w:t>
      </w:r>
      <w:r w:rsidRPr="007D6137">
        <w:rPr>
          <w:rFonts w:ascii="Garamond" w:hAnsi="Garamond"/>
          <w:i/>
          <w:sz w:val="22"/>
          <w:szCs w:val="22"/>
          <w:lang w:val="en-US"/>
        </w:rPr>
        <w:softHyphen/>
        <w:t>truc</w:t>
      </w:r>
      <w:r w:rsidRPr="007D6137">
        <w:rPr>
          <w:rFonts w:ascii="Garamond" w:hAnsi="Garamond"/>
          <w:i/>
          <w:sz w:val="22"/>
          <w:szCs w:val="22"/>
          <w:lang w:val="en-US"/>
        </w:rPr>
        <w:softHyphen/>
        <w:t>ture Pro</w:t>
      </w:r>
      <w:r w:rsidRPr="007D6137">
        <w:rPr>
          <w:rFonts w:ascii="Garamond" w:hAnsi="Garamond"/>
          <w:i/>
          <w:sz w:val="22"/>
          <w:szCs w:val="22"/>
          <w:lang w:val="en-US"/>
        </w:rPr>
        <w:softHyphen/>
        <w:t>tection</w:t>
      </w:r>
      <w:r w:rsidRPr="007D6137">
        <w:rPr>
          <w:rFonts w:ascii="Garamond" w:hAnsi="Garamond"/>
          <w:sz w:val="22"/>
          <w:szCs w:val="22"/>
          <w:lang w:val="en-US"/>
        </w:rPr>
        <w:t xml:space="preserve">, </w:t>
      </w:r>
      <w:proofErr w:type="spellStart"/>
      <w:r>
        <w:rPr>
          <w:rFonts w:ascii="Garamond" w:hAnsi="Garamond"/>
          <w:sz w:val="22"/>
          <w:szCs w:val="22"/>
          <w:lang w:val="en-US"/>
        </w:rPr>
        <w:t>Sujeet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I. (Ed.)</w:t>
      </w:r>
      <w:r w:rsidRPr="00FD3227">
        <w:rPr>
          <w:rFonts w:ascii="Garamond" w:hAnsi="Garamond"/>
          <w:sz w:val="22"/>
          <w:szCs w:val="22"/>
          <w:lang w:val="en-US"/>
        </w:rPr>
        <w:t xml:space="preserve">, </w:t>
      </w:r>
      <w:r w:rsidRPr="007D6137">
        <w:rPr>
          <w:rFonts w:ascii="Garamond" w:hAnsi="Garamond"/>
          <w:sz w:val="22"/>
          <w:szCs w:val="22"/>
          <w:lang w:val="en-US"/>
        </w:rPr>
        <w:t>pp. 35-49, Springer, USA, 2009.</w:t>
      </w:r>
    </w:p>
    <w:p w:rsidR="009B49E1" w:rsidRPr="00C76FF0" w:rsidRDefault="009B49E1" w:rsidP="009B49E1">
      <w:pPr>
        <w:spacing w:after="120"/>
        <w:jc w:val="both"/>
        <w:rPr>
          <w:rFonts w:ascii="Garamond" w:hAnsi="Garamond"/>
          <w:sz w:val="22"/>
          <w:szCs w:val="22"/>
          <w:lang w:val="el-GR"/>
        </w:rPr>
      </w:pPr>
      <w:r>
        <w:rPr>
          <w:rFonts w:ascii="Garamond" w:hAnsi="Garamond"/>
          <w:b/>
          <w:sz w:val="22"/>
          <w:szCs w:val="22"/>
          <w:lang w:val="el-GR"/>
        </w:rPr>
        <w:t>Μονογραφία</w:t>
      </w:r>
      <w:r w:rsidRPr="00C76FF0">
        <w:rPr>
          <w:rFonts w:ascii="Garamond" w:hAnsi="Garamond"/>
          <w:b/>
          <w:sz w:val="22"/>
          <w:szCs w:val="22"/>
          <w:lang w:val="el-GR"/>
        </w:rPr>
        <w:t xml:space="preserve"> </w:t>
      </w:r>
      <w:r>
        <w:rPr>
          <w:rFonts w:ascii="Garamond" w:hAnsi="Garamond"/>
          <w:b/>
          <w:sz w:val="22"/>
          <w:szCs w:val="22"/>
          <w:lang w:val="el-GR"/>
        </w:rPr>
        <w:t>ή</w:t>
      </w:r>
      <w:r w:rsidRPr="00C76FF0">
        <w:rPr>
          <w:rFonts w:ascii="Garamond" w:hAnsi="Garamond"/>
          <w:b/>
          <w:sz w:val="22"/>
          <w:szCs w:val="22"/>
          <w:lang w:val="el-GR"/>
        </w:rPr>
        <w:t xml:space="preserve"> </w:t>
      </w:r>
      <w:r>
        <w:rPr>
          <w:rFonts w:ascii="Garamond" w:hAnsi="Garamond"/>
          <w:b/>
          <w:sz w:val="22"/>
          <w:szCs w:val="22"/>
          <w:lang w:val="el-GR"/>
        </w:rPr>
        <w:t>Β</w:t>
      </w:r>
      <w:r w:rsidRPr="007D6137">
        <w:rPr>
          <w:rFonts w:ascii="Garamond" w:hAnsi="Garamond"/>
          <w:b/>
          <w:sz w:val="22"/>
          <w:szCs w:val="22"/>
          <w:lang w:val="el-GR"/>
        </w:rPr>
        <w:t>ιβλίο</w:t>
      </w:r>
      <w:r w:rsidRPr="00C76FF0">
        <w:rPr>
          <w:rFonts w:ascii="Garamond" w:hAnsi="Garamond"/>
          <w:b/>
          <w:sz w:val="22"/>
          <w:szCs w:val="22"/>
          <w:lang w:val="el-GR"/>
        </w:rPr>
        <w:t xml:space="preserve"> </w:t>
      </w:r>
      <w:r w:rsidRPr="00C76FF0">
        <w:rPr>
          <w:rFonts w:ascii="Garamond" w:hAnsi="Garamond"/>
          <w:sz w:val="22"/>
          <w:szCs w:val="22"/>
          <w:lang w:val="el-GR"/>
        </w:rPr>
        <w:t>(</w:t>
      </w:r>
      <w:r>
        <w:rPr>
          <w:rFonts w:ascii="Garamond" w:hAnsi="Garamond"/>
          <w:sz w:val="22"/>
          <w:szCs w:val="22"/>
          <w:lang w:val="en-US"/>
        </w:rPr>
        <w:t>Monograph</w:t>
      </w:r>
      <w:r w:rsidRPr="00C76FF0">
        <w:rPr>
          <w:rFonts w:ascii="Garamond" w:hAnsi="Garamond"/>
          <w:sz w:val="22"/>
          <w:szCs w:val="22"/>
          <w:lang w:val="el-GR"/>
        </w:rPr>
        <w:t>/</w:t>
      </w:r>
      <w:r w:rsidRPr="00467444">
        <w:rPr>
          <w:rFonts w:ascii="Garamond" w:hAnsi="Garamond"/>
          <w:sz w:val="22"/>
          <w:szCs w:val="22"/>
          <w:lang w:val="en-US"/>
        </w:rPr>
        <w:t>Book</w:t>
      </w:r>
      <w:r w:rsidRPr="00C76FF0">
        <w:rPr>
          <w:rFonts w:ascii="Garamond" w:hAnsi="Garamond"/>
          <w:sz w:val="22"/>
          <w:szCs w:val="22"/>
          <w:lang w:val="el-GR"/>
        </w:rPr>
        <w:t>)</w:t>
      </w:r>
    </w:p>
    <w:p w:rsidR="009B49E1" w:rsidRPr="007D6137" w:rsidRDefault="009B49E1" w:rsidP="009B49E1">
      <w:pPr>
        <w:spacing w:after="120"/>
        <w:ind w:left="1134" w:hanging="1134"/>
        <w:jc w:val="both"/>
        <w:rPr>
          <w:rFonts w:ascii="Garamond" w:hAnsi="Garamond"/>
          <w:sz w:val="22"/>
          <w:szCs w:val="22"/>
          <w:lang w:val="en-US"/>
        </w:rPr>
      </w:pPr>
      <w:r w:rsidRPr="007D6137">
        <w:rPr>
          <w:rFonts w:ascii="Garamond" w:hAnsi="Garamond"/>
          <w:sz w:val="22"/>
          <w:szCs w:val="22"/>
          <w:lang w:val="en-US"/>
        </w:rPr>
        <w:t>[Alb-02]</w:t>
      </w:r>
      <w:r w:rsidRPr="007D6137">
        <w:rPr>
          <w:rFonts w:ascii="Garamond" w:hAnsi="Garamond"/>
          <w:sz w:val="22"/>
          <w:szCs w:val="22"/>
          <w:lang w:val="en-US"/>
        </w:rPr>
        <w:tab/>
      </w:r>
      <w:proofErr w:type="spellStart"/>
      <w:r w:rsidRPr="007D6137">
        <w:rPr>
          <w:rFonts w:ascii="Garamond" w:hAnsi="Garamond"/>
          <w:sz w:val="22"/>
          <w:szCs w:val="22"/>
          <w:lang w:val="en-US"/>
        </w:rPr>
        <w:t>Alberts</w:t>
      </w:r>
      <w:proofErr w:type="spellEnd"/>
      <w:r w:rsidRPr="007D6137">
        <w:rPr>
          <w:rFonts w:ascii="Garamond" w:hAnsi="Garamond"/>
          <w:sz w:val="22"/>
          <w:szCs w:val="22"/>
          <w:lang w:val="en-US"/>
        </w:rPr>
        <w:t xml:space="preserve"> C., </w:t>
      </w:r>
      <w:proofErr w:type="spellStart"/>
      <w:r w:rsidRPr="007D6137">
        <w:rPr>
          <w:rFonts w:ascii="Garamond" w:hAnsi="Garamond"/>
          <w:sz w:val="22"/>
          <w:szCs w:val="22"/>
          <w:lang w:val="en-US"/>
        </w:rPr>
        <w:t>Dorofee</w:t>
      </w:r>
      <w:proofErr w:type="spellEnd"/>
      <w:r w:rsidRPr="007D6137">
        <w:rPr>
          <w:rFonts w:ascii="Garamond" w:hAnsi="Garamond"/>
          <w:sz w:val="22"/>
          <w:szCs w:val="22"/>
          <w:lang w:val="en-US"/>
        </w:rPr>
        <w:t xml:space="preserve"> A., </w:t>
      </w:r>
      <w:r w:rsidRPr="007D6137">
        <w:rPr>
          <w:rFonts w:ascii="Garamond" w:hAnsi="Garamond"/>
          <w:i/>
          <w:sz w:val="22"/>
          <w:szCs w:val="22"/>
          <w:lang w:val="en-US"/>
        </w:rPr>
        <w:t>Managing Information Security Risks: The OCTAVE Approach</w:t>
      </w:r>
      <w:r w:rsidRPr="007D6137">
        <w:rPr>
          <w:rFonts w:ascii="Garamond" w:hAnsi="Garamond"/>
          <w:sz w:val="22"/>
          <w:szCs w:val="22"/>
          <w:lang w:val="en-US"/>
        </w:rPr>
        <w:t>, Ad</w:t>
      </w:r>
      <w:r w:rsidRPr="007D6137">
        <w:rPr>
          <w:rFonts w:ascii="Garamond" w:hAnsi="Garamond"/>
          <w:sz w:val="22"/>
          <w:szCs w:val="22"/>
          <w:lang w:val="en-US"/>
        </w:rPr>
        <w:softHyphen/>
        <w:t>di</w:t>
      </w:r>
      <w:r w:rsidRPr="007D6137">
        <w:rPr>
          <w:rFonts w:ascii="Garamond" w:hAnsi="Garamond"/>
          <w:sz w:val="22"/>
          <w:szCs w:val="22"/>
          <w:lang w:val="en-US"/>
        </w:rPr>
        <w:softHyphen/>
        <w:t>son-Wesley, June 2002.</w:t>
      </w:r>
    </w:p>
    <w:p w:rsidR="009B49E1" w:rsidRPr="00467444" w:rsidRDefault="009B49E1" w:rsidP="009B49E1">
      <w:pPr>
        <w:spacing w:after="120"/>
        <w:jc w:val="both"/>
        <w:rPr>
          <w:rFonts w:ascii="Garamond" w:hAnsi="Garamond"/>
          <w:sz w:val="22"/>
          <w:szCs w:val="22"/>
          <w:lang w:val="el-GR"/>
        </w:rPr>
      </w:pPr>
      <w:r w:rsidRPr="007D6137">
        <w:rPr>
          <w:rFonts w:ascii="Garamond" w:hAnsi="Garamond"/>
          <w:b/>
          <w:sz w:val="22"/>
          <w:szCs w:val="22"/>
          <w:lang w:val="el-GR"/>
        </w:rPr>
        <w:t xml:space="preserve">Κεφάλαιο σε συλλογικό τόμο </w:t>
      </w:r>
      <w:r w:rsidRPr="00467444">
        <w:rPr>
          <w:rFonts w:ascii="Garamond" w:hAnsi="Garamond"/>
          <w:sz w:val="22"/>
          <w:szCs w:val="22"/>
          <w:lang w:val="el-GR"/>
        </w:rPr>
        <w:t>(</w:t>
      </w:r>
      <w:r w:rsidRPr="00467444">
        <w:rPr>
          <w:rFonts w:ascii="Garamond" w:hAnsi="Garamond"/>
          <w:sz w:val="22"/>
          <w:szCs w:val="22"/>
          <w:lang w:val="en-US"/>
        </w:rPr>
        <w:t>Book</w:t>
      </w:r>
      <w:r w:rsidRPr="00467444">
        <w:rPr>
          <w:rFonts w:ascii="Garamond" w:hAnsi="Garamond"/>
          <w:sz w:val="22"/>
          <w:szCs w:val="22"/>
          <w:lang w:val="el-GR"/>
        </w:rPr>
        <w:t xml:space="preserve"> </w:t>
      </w:r>
      <w:r w:rsidRPr="00467444">
        <w:rPr>
          <w:rFonts w:ascii="Garamond" w:hAnsi="Garamond"/>
          <w:sz w:val="22"/>
          <w:szCs w:val="22"/>
          <w:lang w:val="en-US"/>
        </w:rPr>
        <w:t>chapter</w:t>
      </w:r>
      <w:r w:rsidRPr="00467444">
        <w:rPr>
          <w:rFonts w:ascii="Garamond" w:hAnsi="Garamond"/>
          <w:sz w:val="22"/>
          <w:szCs w:val="22"/>
          <w:lang w:val="el-GR"/>
        </w:rPr>
        <w:t>)</w:t>
      </w:r>
    </w:p>
    <w:p w:rsidR="009B49E1" w:rsidRPr="00AA2B8D" w:rsidRDefault="009B49E1" w:rsidP="009B49E1">
      <w:pPr>
        <w:spacing w:after="120"/>
        <w:ind w:left="1134" w:hanging="1134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[Par-07]</w:t>
      </w:r>
      <w:r>
        <w:rPr>
          <w:rFonts w:ascii="Garamond" w:hAnsi="Garamond"/>
          <w:sz w:val="22"/>
          <w:szCs w:val="22"/>
          <w:lang w:val="en-US"/>
        </w:rPr>
        <w:tab/>
      </w:r>
      <w:r w:rsidRPr="008F14C0">
        <w:rPr>
          <w:rFonts w:ascii="Garamond" w:hAnsi="Garamond"/>
          <w:sz w:val="22"/>
          <w:szCs w:val="22"/>
          <w:lang w:val="en-US"/>
        </w:rPr>
        <w:t>P</w:t>
      </w:r>
      <w:r>
        <w:rPr>
          <w:rFonts w:ascii="Garamond" w:hAnsi="Garamond"/>
          <w:sz w:val="22"/>
          <w:szCs w:val="22"/>
          <w:lang w:val="en-US"/>
        </w:rPr>
        <w:t xml:space="preserve">arnell G., </w:t>
      </w:r>
      <w:proofErr w:type="spellStart"/>
      <w:r>
        <w:rPr>
          <w:rFonts w:ascii="Garamond" w:hAnsi="Garamond"/>
          <w:sz w:val="22"/>
          <w:szCs w:val="22"/>
          <w:lang w:val="en-US"/>
        </w:rPr>
        <w:t>Figueira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J., Bennett S., </w:t>
      </w:r>
      <w:proofErr w:type="spellStart"/>
      <w:r>
        <w:rPr>
          <w:rFonts w:ascii="Garamond" w:hAnsi="Garamond"/>
          <w:sz w:val="22"/>
          <w:szCs w:val="22"/>
          <w:lang w:val="en-US"/>
        </w:rPr>
        <w:t>Bobylev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N.,</w:t>
      </w:r>
      <w:r w:rsidRPr="008F14C0">
        <w:rPr>
          <w:rFonts w:ascii="Garamond" w:hAnsi="Garamond"/>
          <w:sz w:val="22"/>
          <w:szCs w:val="22"/>
          <w:lang w:val="en-US"/>
        </w:rPr>
        <w:t xml:space="preserve"> “Decision a</w:t>
      </w:r>
      <w:r>
        <w:rPr>
          <w:rFonts w:ascii="Garamond" w:hAnsi="Garamond"/>
          <w:sz w:val="22"/>
          <w:szCs w:val="22"/>
          <w:lang w:val="en-US"/>
        </w:rPr>
        <w:softHyphen/>
      </w:r>
      <w:r w:rsidRPr="008F14C0">
        <w:rPr>
          <w:rFonts w:ascii="Garamond" w:hAnsi="Garamond"/>
          <w:sz w:val="22"/>
          <w:szCs w:val="22"/>
          <w:lang w:val="en-US"/>
        </w:rPr>
        <w:t>na</w:t>
      </w:r>
      <w:r>
        <w:rPr>
          <w:rFonts w:ascii="Garamond" w:hAnsi="Garamond"/>
          <w:sz w:val="22"/>
          <w:szCs w:val="22"/>
          <w:lang w:val="en-US"/>
        </w:rPr>
        <w:softHyphen/>
      </w:r>
      <w:r w:rsidRPr="008F14C0">
        <w:rPr>
          <w:rFonts w:ascii="Garamond" w:hAnsi="Garamond"/>
          <w:sz w:val="22"/>
          <w:szCs w:val="22"/>
          <w:lang w:val="en-US"/>
        </w:rPr>
        <w:t xml:space="preserve">lysis tools for safety, security, and sustainability of ports and </w:t>
      </w:r>
      <w:r>
        <w:rPr>
          <w:rFonts w:ascii="Garamond" w:hAnsi="Garamond"/>
          <w:sz w:val="22"/>
          <w:szCs w:val="22"/>
          <w:lang w:val="en-US"/>
        </w:rPr>
        <w:t xml:space="preserve">harbors”, in </w:t>
      </w:r>
      <w:proofErr w:type="spellStart"/>
      <w:r>
        <w:rPr>
          <w:rFonts w:ascii="Garamond" w:hAnsi="Garamond"/>
          <w:sz w:val="22"/>
          <w:szCs w:val="22"/>
          <w:lang w:val="en-US"/>
        </w:rPr>
        <w:t>Linkov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I., et al. (E</w:t>
      </w:r>
      <w:r w:rsidRPr="008F14C0">
        <w:rPr>
          <w:rFonts w:ascii="Garamond" w:hAnsi="Garamond"/>
          <w:sz w:val="22"/>
          <w:szCs w:val="22"/>
          <w:lang w:val="en-US"/>
        </w:rPr>
        <w:t>ds</w:t>
      </w:r>
      <w:r>
        <w:rPr>
          <w:rFonts w:ascii="Garamond" w:hAnsi="Garamond"/>
          <w:sz w:val="22"/>
          <w:szCs w:val="22"/>
          <w:lang w:val="en-US"/>
        </w:rPr>
        <w:t>.</w:t>
      </w:r>
      <w:r w:rsidRPr="008F14C0">
        <w:rPr>
          <w:rFonts w:ascii="Garamond" w:hAnsi="Garamond"/>
          <w:sz w:val="22"/>
          <w:szCs w:val="22"/>
          <w:lang w:val="en-US"/>
        </w:rPr>
        <w:t>)</w:t>
      </w:r>
      <w:r>
        <w:rPr>
          <w:rFonts w:ascii="Garamond" w:hAnsi="Garamond"/>
          <w:sz w:val="22"/>
          <w:szCs w:val="22"/>
          <w:lang w:val="en-US"/>
        </w:rPr>
        <w:t>,</w:t>
      </w:r>
      <w:r w:rsidRPr="008F14C0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i/>
          <w:sz w:val="22"/>
          <w:szCs w:val="22"/>
          <w:lang w:val="en-US"/>
        </w:rPr>
        <w:t xml:space="preserve">Managing Critical </w:t>
      </w:r>
      <w:r w:rsidRPr="007D6137">
        <w:rPr>
          <w:rFonts w:ascii="Garamond" w:hAnsi="Garamond"/>
          <w:i/>
          <w:sz w:val="22"/>
          <w:szCs w:val="22"/>
          <w:lang w:val="en-US"/>
        </w:rPr>
        <w:t>In</w:t>
      </w:r>
      <w:r>
        <w:rPr>
          <w:rFonts w:ascii="Garamond" w:hAnsi="Garamond"/>
          <w:i/>
          <w:sz w:val="22"/>
          <w:szCs w:val="22"/>
          <w:lang w:val="en-US"/>
        </w:rPr>
        <w:softHyphen/>
      </w:r>
      <w:r w:rsidRPr="007D6137">
        <w:rPr>
          <w:rFonts w:ascii="Garamond" w:hAnsi="Garamond"/>
          <w:i/>
          <w:sz w:val="22"/>
          <w:szCs w:val="22"/>
          <w:lang w:val="en-US"/>
        </w:rPr>
        <w:t>fra</w:t>
      </w:r>
      <w:r>
        <w:rPr>
          <w:rFonts w:ascii="Garamond" w:hAnsi="Garamond"/>
          <w:i/>
          <w:sz w:val="22"/>
          <w:szCs w:val="22"/>
          <w:lang w:val="en-US"/>
        </w:rPr>
        <w:softHyphen/>
      </w:r>
      <w:r w:rsidRPr="007D6137">
        <w:rPr>
          <w:rFonts w:ascii="Garamond" w:hAnsi="Garamond"/>
          <w:i/>
          <w:sz w:val="22"/>
          <w:szCs w:val="22"/>
          <w:lang w:val="en-US"/>
        </w:rPr>
        <w:t>stru</w:t>
      </w:r>
      <w:r>
        <w:rPr>
          <w:rFonts w:ascii="Garamond" w:hAnsi="Garamond"/>
          <w:i/>
          <w:sz w:val="22"/>
          <w:szCs w:val="22"/>
          <w:lang w:val="en-US"/>
        </w:rPr>
        <w:softHyphen/>
      </w:r>
      <w:r w:rsidRPr="007D6137">
        <w:rPr>
          <w:rFonts w:ascii="Garamond" w:hAnsi="Garamond"/>
          <w:i/>
          <w:sz w:val="22"/>
          <w:szCs w:val="22"/>
          <w:lang w:val="en-US"/>
        </w:rPr>
        <w:t>c</w:t>
      </w:r>
      <w:r>
        <w:rPr>
          <w:rFonts w:ascii="Garamond" w:hAnsi="Garamond"/>
          <w:i/>
          <w:sz w:val="22"/>
          <w:szCs w:val="22"/>
          <w:lang w:val="en-US"/>
        </w:rPr>
        <w:softHyphen/>
      </w:r>
      <w:r w:rsidRPr="007D6137">
        <w:rPr>
          <w:rFonts w:ascii="Garamond" w:hAnsi="Garamond"/>
          <w:i/>
          <w:sz w:val="22"/>
          <w:szCs w:val="22"/>
          <w:lang w:val="en-US"/>
        </w:rPr>
        <w:t>ture Risks</w:t>
      </w:r>
      <w:r w:rsidRPr="007D6137">
        <w:rPr>
          <w:rFonts w:ascii="Garamond" w:hAnsi="Garamond"/>
          <w:sz w:val="22"/>
          <w:szCs w:val="22"/>
          <w:lang w:val="en-US"/>
        </w:rPr>
        <w:t xml:space="preserve">, pp. 245–260, Springer, Germany, 2007. </w:t>
      </w:r>
    </w:p>
    <w:p w:rsidR="009B49E1" w:rsidRPr="006C1EEF" w:rsidRDefault="009B49E1" w:rsidP="009B49E1">
      <w:pPr>
        <w:spacing w:after="120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l-GR"/>
        </w:rPr>
        <w:t>Παραδοτέο</w:t>
      </w:r>
      <w:r w:rsidRPr="006C1EEF">
        <w:rPr>
          <w:rFonts w:ascii="Garamond" w:hAnsi="Garamond"/>
          <w:b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lang w:val="el-GR"/>
        </w:rPr>
        <w:t>ή</w:t>
      </w:r>
      <w:r w:rsidRPr="006C1EEF">
        <w:rPr>
          <w:rFonts w:ascii="Garamond" w:hAnsi="Garamond"/>
          <w:b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lang w:val="el-GR"/>
        </w:rPr>
        <w:t>Τεχνική</w:t>
      </w:r>
      <w:r w:rsidRPr="006C1EE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7D6137">
        <w:rPr>
          <w:rFonts w:ascii="Garamond" w:hAnsi="Garamond"/>
          <w:b/>
          <w:sz w:val="22"/>
          <w:szCs w:val="22"/>
          <w:lang w:val="el-GR"/>
        </w:rPr>
        <w:t>Αναφορά</w:t>
      </w:r>
      <w:r w:rsidRPr="006C1EE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6C1EEF">
        <w:rPr>
          <w:rFonts w:ascii="Garamond" w:hAnsi="Garamond"/>
          <w:sz w:val="22"/>
          <w:szCs w:val="22"/>
          <w:lang w:val="en-US"/>
        </w:rPr>
        <w:t>(</w:t>
      </w:r>
      <w:r>
        <w:rPr>
          <w:rFonts w:ascii="Garamond" w:hAnsi="Garamond"/>
          <w:sz w:val="22"/>
          <w:szCs w:val="22"/>
          <w:lang w:val="en-US"/>
        </w:rPr>
        <w:t>Deliverable</w:t>
      </w:r>
      <w:r w:rsidRPr="006C1EEF">
        <w:rPr>
          <w:rFonts w:ascii="Garamond" w:hAnsi="Garamond"/>
          <w:sz w:val="22"/>
          <w:szCs w:val="22"/>
          <w:lang w:val="en-US"/>
        </w:rPr>
        <w:t>/</w:t>
      </w:r>
      <w:r w:rsidRPr="00467444">
        <w:rPr>
          <w:rFonts w:ascii="Garamond" w:hAnsi="Garamond"/>
          <w:sz w:val="22"/>
          <w:szCs w:val="22"/>
          <w:lang w:val="en-US"/>
        </w:rPr>
        <w:t>Technical</w:t>
      </w:r>
      <w:r w:rsidRPr="006C1EEF">
        <w:rPr>
          <w:rFonts w:ascii="Garamond" w:hAnsi="Garamond"/>
          <w:sz w:val="22"/>
          <w:szCs w:val="22"/>
          <w:lang w:val="en-US"/>
        </w:rPr>
        <w:t xml:space="preserve"> </w:t>
      </w:r>
      <w:r w:rsidRPr="00467444">
        <w:rPr>
          <w:rFonts w:ascii="Garamond" w:hAnsi="Garamond"/>
          <w:sz w:val="22"/>
          <w:szCs w:val="22"/>
          <w:lang w:val="en-US"/>
        </w:rPr>
        <w:t>Report</w:t>
      </w:r>
      <w:r w:rsidRPr="006C1EEF">
        <w:rPr>
          <w:rFonts w:ascii="Garamond" w:hAnsi="Garamond"/>
          <w:sz w:val="22"/>
          <w:szCs w:val="22"/>
          <w:lang w:val="en-US"/>
        </w:rPr>
        <w:t>)</w:t>
      </w:r>
    </w:p>
    <w:p w:rsidR="009B49E1" w:rsidRPr="007D6137" w:rsidRDefault="009B49E1" w:rsidP="009B49E1">
      <w:pPr>
        <w:spacing w:after="120"/>
        <w:ind w:left="1134" w:hanging="1134"/>
        <w:jc w:val="both"/>
        <w:rPr>
          <w:rFonts w:ascii="Garamond" w:hAnsi="Garamond"/>
          <w:sz w:val="22"/>
          <w:szCs w:val="22"/>
          <w:lang w:val="en-US"/>
        </w:rPr>
      </w:pPr>
      <w:r w:rsidRPr="007D6137">
        <w:rPr>
          <w:rFonts w:ascii="Garamond" w:hAnsi="Garamond"/>
          <w:sz w:val="22"/>
          <w:szCs w:val="22"/>
          <w:lang w:val="en-US"/>
        </w:rPr>
        <w:t>[Lui-06]</w:t>
      </w:r>
      <w:r w:rsidRPr="007D6137">
        <w:rPr>
          <w:rFonts w:ascii="Garamond" w:hAnsi="Garamond"/>
          <w:sz w:val="22"/>
          <w:szCs w:val="22"/>
          <w:lang w:val="en-US"/>
        </w:rPr>
        <w:tab/>
      </w:r>
      <w:proofErr w:type="spellStart"/>
      <w:r w:rsidRPr="007D6137">
        <w:rPr>
          <w:rFonts w:ascii="Garamond" w:hAnsi="Garamond"/>
          <w:sz w:val="22"/>
          <w:szCs w:val="22"/>
          <w:lang w:val="en-US"/>
        </w:rPr>
        <w:t>Luiijf</w:t>
      </w:r>
      <w:proofErr w:type="spellEnd"/>
      <w:r w:rsidRPr="007D6137">
        <w:rPr>
          <w:rFonts w:ascii="Garamond" w:hAnsi="Garamond"/>
          <w:sz w:val="22"/>
          <w:szCs w:val="22"/>
          <w:lang w:val="en-US"/>
        </w:rPr>
        <w:t xml:space="preserve"> E., “Threat Taxonomy for Critical Infrastructures and Critical Infrastructure Risk As</w:t>
      </w:r>
      <w:r w:rsidRPr="007D6137">
        <w:rPr>
          <w:rFonts w:ascii="Garamond" w:hAnsi="Garamond"/>
          <w:sz w:val="22"/>
          <w:szCs w:val="22"/>
          <w:lang w:val="en-US"/>
        </w:rPr>
        <w:softHyphen/>
        <w:t xml:space="preserve">pects at the EU-Level”, Deliverable D1.2, </w:t>
      </w:r>
      <w:r w:rsidRPr="007D6137">
        <w:rPr>
          <w:rFonts w:ascii="Garamond" w:hAnsi="Garamond"/>
          <w:i/>
          <w:sz w:val="22"/>
          <w:szCs w:val="22"/>
          <w:lang w:val="en-US"/>
        </w:rPr>
        <w:t>Technical Report VITA PASR-2004-004400</w:t>
      </w:r>
      <w:r w:rsidRPr="007D6137">
        <w:rPr>
          <w:rFonts w:ascii="Garamond" w:hAnsi="Garamond"/>
          <w:sz w:val="22"/>
          <w:szCs w:val="22"/>
          <w:lang w:val="en-US"/>
        </w:rPr>
        <w:t xml:space="preserve">, TNO </w:t>
      </w:r>
      <w:proofErr w:type="spellStart"/>
      <w:r w:rsidRPr="007D6137">
        <w:rPr>
          <w:rFonts w:ascii="Garamond" w:hAnsi="Garamond"/>
          <w:sz w:val="22"/>
          <w:szCs w:val="22"/>
          <w:lang w:val="en-US"/>
        </w:rPr>
        <w:t>Defence</w:t>
      </w:r>
      <w:proofErr w:type="spellEnd"/>
      <w:r w:rsidRPr="007D6137">
        <w:rPr>
          <w:rFonts w:ascii="Garamond" w:hAnsi="Garamond"/>
          <w:sz w:val="22"/>
          <w:szCs w:val="22"/>
          <w:lang w:val="en-US"/>
        </w:rPr>
        <w:t xml:space="preserve">, </w:t>
      </w:r>
      <w:r w:rsidRPr="007D6137">
        <w:rPr>
          <w:rFonts w:ascii="Garamond" w:hAnsi="Garamond"/>
          <w:i/>
          <w:sz w:val="22"/>
          <w:szCs w:val="22"/>
          <w:lang w:val="en-US"/>
        </w:rPr>
        <w:t>Security and Safety</w:t>
      </w:r>
      <w:r w:rsidRPr="007D6137">
        <w:rPr>
          <w:rFonts w:ascii="Garamond" w:hAnsi="Garamond"/>
          <w:sz w:val="22"/>
          <w:szCs w:val="22"/>
          <w:lang w:val="en-US"/>
        </w:rPr>
        <w:t xml:space="preserve">, </w:t>
      </w:r>
      <w:proofErr w:type="gramStart"/>
      <w:r w:rsidRPr="007D6137">
        <w:rPr>
          <w:rFonts w:ascii="Garamond" w:hAnsi="Garamond"/>
          <w:sz w:val="22"/>
          <w:szCs w:val="22"/>
          <w:lang w:val="en-US"/>
        </w:rPr>
        <w:t>The</w:t>
      </w:r>
      <w:proofErr w:type="gramEnd"/>
      <w:r w:rsidRPr="007D6137">
        <w:rPr>
          <w:rFonts w:ascii="Garamond" w:hAnsi="Garamond"/>
          <w:sz w:val="22"/>
          <w:szCs w:val="22"/>
          <w:lang w:val="en-US"/>
        </w:rPr>
        <w:t xml:space="preserve"> Netherlands, 2006.</w:t>
      </w:r>
    </w:p>
    <w:p w:rsidR="009B49E1" w:rsidRPr="00C76FF0" w:rsidRDefault="009B49E1" w:rsidP="009B49E1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lang w:val="el-GR"/>
        </w:rPr>
        <w:t>Αναφορά</w:t>
      </w:r>
      <w:r w:rsidRPr="00C76FF0">
        <w:rPr>
          <w:rFonts w:ascii="Garamond" w:hAnsi="Garamond"/>
          <w:b/>
          <w:sz w:val="22"/>
          <w:szCs w:val="22"/>
        </w:rPr>
        <w:t xml:space="preserve"> </w:t>
      </w:r>
      <w:r w:rsidRPr="007D6137">
        <w:rPr>
          <w:rFonts w:ascii="Garamond" w:hAnsi="Garamond"/>
          <w:b/>
          <w:sz w:val="22"/>
          <w:szCs w:val="22"/>
          <w:lang w:val="el-GR"/>
        </w:rPr>
        <w:t>σε</w:t>
      </w:r>
      <w:r w:rsidRPr="00C76FF0">
        <w:rPr>
          <w:rFonts w:ascii="Garamond" w:hAnsi="Garamond"/>
          <w:b/>
          <w:sz w:val="22"/>
          <w:szCs w:val="22"/>
        </w:rPr>
        <w:t xml:space="preserve"> </w:t>
      </w:r>
      <w:r w:rsidRPr="007D6137">
        <w:rPr>
          <w:rFonts w:ascii="Garamond" w:hAnsi="Garamond"/>
          <w:b/>
          <w:sz w:val="22"/>
          <w:szCs w:val="22"/>
          <w:lang w:val="el-GR"/>
        </w:rPr>
        <w:t>Σύνδεσμο</w:t>
      </w:r>
      <w:r w:rsidRPr="00C76FF0">
        <w:rPr>
          <w:rFonts w:ascii="Garamond" w:hAnsi="Garamond"/>
          <w:b/>
          <w:sz w:val="22"/>
          <w:szCs w:val="22"/>
        </w:rPr>
        <w:t xml:space="preserve"> </w:t>
      </w:r>
      <w:r w:rsidRPr="00C76FF0">
        <w:rPr>
          <w:rFonts w:ascii="Garamond" w:hAnsi="Garamond"/>
          <w:sz w:val="22"/>
          <w:szCs w:val="22"/>
        </w:rPr>
        <w:t>(</w:t>
      </w:r>
      <w:r w:rsidRPr="00467444">
        <w:rPr>
          <w:rFonts w:ascii="Garamond" w:hAnsi="Garamond"/>
          <w:sz w:val="22"/>
          <w:szCs w:val="22"/>
          <w:lang w:val="en-US"/>
        </w:rPr>
        <w:t>URL</w:t>
      </w:r>
      <w:r w:rsidRPr="00C76FF0">
        <w:rPr>
          <w:rFonts w:ascii="Garamond" w:hAnsi="Garamond"/>
          <w:sz w:val="22"/>
          <w:szCs w:val="22"/>
        </w:rPr>
        <w:t>)</w:t>
      </w:r>
    </w:p>
    <w:p w:rsidR="009B49E1" w:rsidRPr="00221936" w:rsidRDefault="009B49E1" w:rsidP="00221936">
      <w:pPr>
        <w:spacing w:after="120"/>
        <w:ind w:left="1134" w:hanging="1134"/>
        <w:rPr>
          <w:rFonts w:ascii="Garamond" w:hAnsi="Garamond"/>
          <w:sz w:val="22"/>
          <w:szCs w:val="22"/>
          <w:lang w:val="el-GR"/>
        </w:rPr>
        <w:sectPr w:rsidR="009B49E1" w:rsidRPr="00221936" w:rsidSect="00CD35CC">
          <w:headerReference w:type="default" r:id="rId6"/>
          <w:pgSz w:w="11907" w:h="16840"/>
          <w:pgMar w:top="1418" w:right="1559" w:bottom="1418" w:left="1418" w:header="720" w:footer="720" w:gutter="0"/>
          <w:pgNumType w:start="1"/>
          <w:cols w:space="720"/>
          <w:titlePg/>
          <w:docGrid w:linePitch="326"/>
        </w:sectPr>
      </w:pPr>
      <w:r>
        <w:rPr>
          <w:rFonts w:ascii="Garamond" w:hAnsi="Garamond"/>
          <w:sz w:val="22"/>
          <w:szCs w:val="22"/>
          <w:lang w:val="en-US"/>
        </w:rPr>
        <w:t>[ITG07]</w:t>
      </w:r>
      <w:r>
        <w:rPr>
          <w:rFonts w:ascii="Garamond" w:hAnsi="Garamond"/>
          <w:sz w:val="22"/>
          <w:szCs w:val="22"/>
          <w:lang w:val="en-US"/>
        </w:rPr>
        <w:tab/>
      </w:r>
      <w:r w:rsidRPr="00610FC4">
        <w:rPr>
          <w:rFonts w:ascii="Garamond" w:hAnsi="Garamond"/>
          <w:sz w:val="22"/>
          <w:szCs w:val="22"/>
          <w:lang w:val="en-US"/>
        </w:rPr>
        <w:t xml:space="preserve">IT Governance Institute, </w:t>
      </w:r>
      <w:proofErr w:type="spellStart"/>
      <w:r w:rsidRPr="00521C06">
        <w:rPr>
          <w:rFonts w:ascii="Garamond" w:hAnsi="Garamond"/>
          <w:i/>
          <w:sz w:val="22"/>
          <w:szCs w:val="22"/>
          <w:lang w:val="en-US"/>
        </w:rPr>
        <w:t>Cobit</w:t>
      </w:r>
      <w:proofErr w:type="spellEnd"/>
      <w:r w:rsidRPr="00521C06">
        <w:rPr>
          <w:rFonts w:ascii="Garamond" w:hAnsi="Garamond"/>
          <w:i/>
          <w:sz w:val="22"/>
          <w:szCs w:val="22"/>
          <w:lang w:val="en-US"/>
        </w:rPr>
        <w:t xml:space="preserve"> 4.1, </w:t>
      </w:r>
      <w:r>
        <w:rPr>
          <w:rFonts w:ascii="Garamond" w:hAnsi="Garamond"/>
          <w:sz w:val="22"/>
          <w:szCs w:val="22"/>
          <w:lang w:val="en-US"/>
        </w:rPr>
        <w:t>USA</w:t>
      </w:r>
      <w:r w:rsidRPr="00610FC4">
        <w:rPr>
          <w:rFonts w:ascii="Garamond" w:hAnsi="Garamond"/>
          <w:sz w:val="22"/>
          <w:szCs w:val="22"/>
          <w:lang w:val="en-US"/>
        </w:rPr>
        <w:t>, 2007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hyperlink r:id="rId7" w:history="1">
        <w:r w:rsidRPr="00635715">
          <w:rPr>
            <w:rStyle w:val="Hyperlink"/>
            <w:rFonts w:ascii="Garamond" w:hAnsi="Garamond"/>
            <w:b w:val="0"/>
            <w:sz w:val="22"/>
            <w:szCs w:val="22"/>
            <w:lang w:val="en-US"/>
          </w:rPr>
          <w:t>http://www.isaca.org/Knowledge-Center</w:t>
        </w:r>
        <w:r w:rsidRPr="001C1AD5">
          <w:rPr>
            <w:rStyle w:val="Hyperlink"/>
            <w:rFonts w:ascii="Garamond" w:hAnsi="Garamond"/>
            <w:b w:val="0"/>
            <w:sz w:val="22"/>
            <w:szCs w:val="22"/>
            <w:lang w:val="en-US"/>
          </w:rPr>
          <w:t xml:space="preserve"> </w:t>
        </w:r>
        <w:r w:rsidRPr="00635715">
          <w:rPr>
            <w:rStyle w:val="Hyperlink"/>
            <w:rFonts w:ascii="Garamond" w:hAnsi="Garamond"/>
            <w:b w:val="0"/>
            <w:sz w:val="22"/>
            <w:szCs w:val="22"/>
            <w:lang w:val="en-US"/>
          </w:rPr>
          <w:t>/</w:t>
        </w:r>
        <w:proofErr w:type="spellStart"/>
        <w:r w:rsidRPr="00635715">
          <w:rPr>
            <w:rStyle w:val="Hyperlink"/>
            <w:rFonts w:ascii="Garamond" w:hAnsi="Garamond"/>
            <w:b w:val="0"/>
            <w:sz w:val="22"/>
            <w:szCs w:val="22"/>
            <w:lang w:val="en-US"/>
          </w:rPr>
          <w:t>cobit</w:t>
        </w:r>
        <w:proofErr w:type="spellEnd"/>
        <w:r w:rsidRPr="00635715">
          <w:rPr>
            <w:rStyle w:val="Hyperlink"/>
            <w:rFonts w:ascii="Garamond" w:hAnsi="Garamond"/>
            <w:b w:val="0"/>
            <w:sz w:val="22"/>
            <w:szCs w:val="22"/>
            <w:lang w:val="en-US"/>
          </w:rPr>
          <w:t>/Pages/Downloads.aspx</w:t>
        </w:r>
      </w:hyperlink>
      <w:r w:rsidRPr="00635715">
        <w:rPr>
          <w:rFonts w:ascii="Garamond" w:hAnsi="Garamond"/>
          <w:sz w:val="22"/>
          <w:szCs w:val="22"/>
          <w:lang w:val="en-US"/>
        </w:rPr>
        <w:t xml:space="preserve"> (accessed De</w:t>
      </w:r>
      <w:r w:rsidRPr="00635715">
        <w:rPr>
          <w:rFonts w:ascii="Garamond" w:hAnsi="Garamond"/>
          <w:sz w:val="22"/>
          <w:szCs w:val="22"/>
          <w:lang w:val="en-US"/>
        </w:rPr>
        <w:softHyphen/>
        <w:t>cem</w:t>
      </w:r>
      <w:r w:rsidRPr="00635715">
        <w:rPr>
          <w:rFonts w:ascii="Garamond" w:hAnsi="Garamond"/>
          <w:sz w:val="22"/>
          <w:szCs w:val="22"/>
          <w:lang w:val="en-US"/>
        </w:rPr>
        <w:softHyphen/>
        <w:t>ber 2010).</w:t>
      </w:r>
    </w:p>
    <w:p w:rsidR="00765B0D" w:rsidRPr="00221936" w:rsidRDefault="00765B0D" w:rsidP="00221936">
      <w:pPr>
        <w:rPr>
          <w:lang w:val="el-GR"/>
        </w:rPr>
      </w:pPr>
    </w:p>
    <w:sectPr w:rsidR="00765B0D" w:rsidRPr="00221936" w:rsidSect="00765B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5C" w:rsidRDefault="00993C5C" w:rsidP="009B49E1">
      <w:r>
        <w:separator/>
      </w:r>
    </w:p>
  </w:endnote>
  <w:endnote w:type="continuationSeparator" w:id="0">
    <w:p w:rsidR="00993C5C" w:rsidRDefault="00993C5C" w:rsidP="009B4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5C" w:rsidRDefault="00993C5C" w:rsidP="009B49E1">
      <w:r>
        <w:separator/>
      </w:r>
    </w:p>
  </w:footnote>
  <w:footnote w:type="continuationSeparator" w:id="0">
    <w:p w:rsidR="00993C5C" w:rsidRDefault="00993C5C" w:rsidP="009B4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Borders>
        <w:bottom w:val="double" w:sz="2" w:space="0" w:color="999999"/>
      </w:tblBorders>
      <w:tblLook w:val="0000"/>
    </w:tblPr>
    <w:tblGrid>
      <w:gridCol w:w="4361"/>
      <w:gridCol w:w="4678"/>
    </w:tblGrid>
    <w:tr w:rsidR="004E1C24" w:rsidRPr="006C1EEF" w:rsidTr="000A653E">
      <w:tc>
        <w:tcPr>
          <w:tcW w:w="4361" w:type="dxa"/>
          <w:vAlign w:val="center"/>
        </w:tcPr>
        <w:p w:rsidR="004E1C24" w:rsidRPr="006C1EEF" w:rsidRDefault="00993C5C" w:rsidP="002D7EA0">
          <w:pPr>
            <w:pStyle w:val="Header"/>
            <w:tabs>
              <w:tab w:val="clear" w:pos="4153"/>
              <w:tab w:val="clear" w:pos="8306"/>
            </w:tabs>
            <w:ind w:right="-62"/>
            <w:rPr>
              <w:color w:val="808080" w:themeColor="background1" w:themeShade="80"/>
              <w:sz w:val="4"/>
              <w:szCs w:val="4"/>
              <w:lang w:val="en-US"/>
            </w:rPr>
          </w:pPr>
        </w:p>
      </w:tc>
      <w:tc>
        <w:tcPr>
          <w:tcW w:w="4678" w:type="dxa"/>
          <w:vAlign w:val="center"/>
        </w:tcPr>
        <w:p w:rsidR="004E1C24" w:rsidRPr="007A0A98" w:rsidRDefault="00993C5C" w:rsidP="002D7EA0">
          <w:pPr>
            <w:pStyle w:val="Header"/>
            <w:rPr>
              <w:color w:val="808080" w:themeColor="background1" w:themeShade="80"/>
              <w:sz w:val="4"/>
              <w:szCs w:val="4"/>
              <w:lang w:val="el-GR"/>
            </w:rPr>
          </w:pPr>
        </w:p>
      </w:tc>
    </w:tr>
  </w:tbl>
  <w:p w:rsidR="004E1C24" w:rsidRPr="00DA2FA1" w:rsidRDefault="00993C5C" w:rsidP="008805C9">
    <w:pPr>
      <w:pStyle w:val="Header"/>
      <w:ind w:right="-868"/>
      <w:rPr>
        <w:noProof/>
        <w:color w:val="808080"/>
        <w:sz w:val="8"/>
        <w:szCs w:val="8"/>
        <w:lang w:val="el-GR"/>
      </w:rPr>
    </w:pPr>
  </w:p>
  <w:p w:rsidR="004E1C24" w:rsidRPr="008805C9" w:rsidRDefault="00993C5C" w:rsidP="008805C9">
    <w:pPr>
      <w:pStyle w:val="Header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9E1"/>
    <w:rsid w:val="00221936"/>
    <w:rsid w:val="00765B0D"/>
    <w:rsid w:val="00993C5C"/>
    <w:rsid w:val="009B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,Headertext"/>
    <w:basedOn w:val="Normal"/>
    <w:link w:val="HeaderChar"/>
    <w:rsid w:val="009B49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49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9B49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B49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9B49E1"/>
  </w:style>
  <w:style w:type="paragraph" w:styleId="Title">
    <w:name w:val="Title"/>
    <w:basedOn w:val="Normal"/>
    <w:link w:val="TitleChar"/>
    <w:qFormat/>
    <w:rsid w:val="009B49E1"/>
    <w:pPr>
      <w:ind w:right="-694"/>
      <w:jc w:val="center"/>
    </w:pPr>
    <w:rPr>
      <w:b/>
      <w:bCs/>
      <w:lang w:val="el-GR"/>
    </w:rPr>
  </w:style>
  <w:style w:type="character" w:customStyle="1" w:styleId="TitleChar">
    <w:name w:val="Title Char"/>
    <w:basedOn w:val="DefaultParagraphFont"/>
    <w:link w:val="Title"/>
    <w:rsid w:val="009B49E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9B49E1"/>
    <w:rPr>
      <w:rFonts w:ascii="Arial" w:hAnsi="Arial"/>
      <w:b/>
      <w:color w:val="0000FF"/>
      <w:sz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aca.org/Knowledge-Center/cobit/Pages/Download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polemi</dc:creator>
  <cp:lastModifiedBy>polemi</cp:lastModifiedBy>
  <cp:revision>2</cp:revision>
  <dcterms:created xsi:type="dcterms:W3CDTF">2011-03-14T07:52:00Z</dcterms:created>
  <dcterms:modified xsi:type="dcterms:W3CDTF">2011-03-14T07:53:00Z</dcterms:modified>
</cp:coreProperties>
</file>