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750" w:type="dxa"/>
        <w:tblCellSpacing w:w="0" w:type="dxa"/>
        <w:tblCellMar>
          <w:left w:w="0" w:type="dxa"/>
          <w:right w:w="0" w:type="dxa"/>
        </w:tblCellMar>
        <w:tblLook w:val="04A0" w:firstRow="1" w:lastRow="0" w:firstColumn="1" w:lastColumn="0" w:noHBand="0" w:noVBand="1"/>
      </w:tblPr>
      <w:tblGrid>
        <w:gridCol w:w="18750"/>
      </w:tblGrid>
      <w:tr w:rsidR="00DC5D23" w:rsidRPr="00DC5D23" w:rsidTr="00DC5D23">
        <w:trPr>
          <w:tblCellSpacing w:w="0" w:type="dxa"/>
        </w:trPr>
        <w:tc>
          <w:tcPr>
            <w:tcW w:w="0" w:type="auto"/>
            <w:shd w:val="clear" w:color="auto" w:fill="FFFFFF"/>
            <w:tcMar>
              <w:top w:w="45" w:type="dxa"/>
              <w:left w:w="45" w:type="dxa"/>
              <w:bottom w:w="45" w:type="dxa"/>
              <w:right w:w="45" w:type="dxa"/>
            </w:tcMar>
            <w:vAlign w:val="center"/>
            <w:hideMark/>
          </w:tcPr>
          <w:p w:rsidR="00DC5D23" w:rsidRPr="00DC5D23" w:rsidRDefault="00DC5D23" w:rsidP="00DC5D23">
            <w:pPr>
              <w:spacing w:before="15" w:after="0" w:line="240" w:lineRule="auto"/>
              <w:rPr>
                <w:rFonts w:ascii="Verdana" w:eastAsia="Times New Roman" w:hAnsi="Verdana" w:cs="Times New Roman"/>
                <w:b/>
                <w:bCs/>
                <w:color w:val="9C1C21"/>
                <w:sz w:val="17"/>
                <w:szCs w:val="17"/>
                <w:lang w:eastAsia="el-GR"/>
              </w:rPr>
            </w:pPr>
            <w:r w:rsidRPr="00DC5D23">
              <w:rPr>
                <w:rFonts w:ascii="Verdana" w:eastAsia="Times New Roman" w:hAnsi="Verdana" w:cs="Times New Roman"/>
                <w:b/>
                <w:bCs/>
                <w:color w:val="9C1C21"/>
                <w:sz w:val="17"/>
                <w:szCs w:val="17"/>
                <w:lang w:eastAsia="el-GR"/>
              </w:rPr>
              <w:t>Ν 3028/2002: Προστασία Αρχαιοτήτων-Πολιτιστικής Κληρονομιάς Βλ.&amp; Ν.3658/2008 (312706)</w:t>
            </w:r>
          </w:p>
        </w:tc>
      </w:tr>
    </w:tbl>
    <w:p w:rsidR="00DC5D23" w:rsidRPr="00DC5D23" w:rsidRDefault="00DC5D23" w:rsidP="00DC5D23">
      <w:pPr>
        <w:spacing w:after="0" w:line="240" w:lineRule="auto"/>
        <w:rPr>
          <w:rFonts w:ascii="Times New Roman" w:eastAsia="Times New Roman" w:hAnsi="Times New Roman" w:cs="Times New Roman"/>
          <w:vanish/>
          <w:sz w:val="24"/>
          <w:szCs w:val="24"/>
          <w:lang w:eastAsia="el-GR"/>
        </w:rPr>
      </w:pPr>
    </w:p>
    <w:tbl>
      <w:tblPr>
        <w:tblW w:w="18735" w:type="dxa"/>
        <w:tblCellSpacing w:w="0" w:type="dxa"/>
        <w:tblBorders>
          <w:bottom w:val="single" w:sz="6" w:space="0" w:color="DCE2E2"/>
          <w:right w:val="single" w:sz="6" w:space="0" w:color="DCE2E2"/>
        </w:tblBorders>
        <w:tblCellMar>
          <w:top w:w="15" w:type="dxa"/>
          <w:left w:w="0" w:type="dxa"/>
          <w:right w:w="0" w:type="dxa"/>
        </w:tblCellMar>
        <w:tblLook w:val="04A0" w:firstRow="1" w:lastRow="0" w:firstColumn="1" w:lastColumn="0" w:noHBand="0" w:noVBand="1"/>
      </w:tblPr>
      <w:tblGrid>
        <w:gridCol w:w="11241"/>
        <w:gridCol w:w="7494"/>
      </w:tblGrid>
      <w:tr w:rsidR="00DC5D23" w:rsidRPr="00DC5D23" w:rsidTr="00DC5D23">
        <w:trPr>
          <w:tblCellSpacing w:w="0" w:type="dxa"/>
        </w:trPr>
        <w:tc>
          <w:tcPr>
            <w:tcW w:w="5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DC5D23" w:rsidRPr="00DC5D23" w:rsidRDefault="00DC5D23" w:rsidP="00DC5D23">
            <w:pPr>
              <w:spacing w:after="0" w:line="240" w:lineRule="auto"/>
              <w:rPr>
                <w:rFonts w:ascii="Verdana" w:eastAsia="Times New Roman" w:hAnsi="Verdana" w:cs="Times New Roman"/>
                <w:b/>
                <w:bCs/>
                <w:color w:val="000000"/>
                <w:sz w:val="15"/>
                <w:szCs w:val="15"/>
                <w:lang w:eastAsia="el-GR"/>
              </w:rPr>
            </w:pPr>
            <w:proofErr w:type="spellStart"/>
            <w:r w:rsidRPr="00DC5D23">
              <w:rPr>
                <w:rFonts w:ascii="Verdana" w:eastAsia="Times New Roman" w:hAnsi="Verdana" w:cs="Times New Roman"/>
                <w:b/>
                <w:bCs/>
                <w:color w:val="000000"/>
                <w:sz w:val="15"/>
                <w:szCs w:val="15"/>
                <w:lang w:eastAsia="el-GR"/>
              </w:rPr>
              <w:t>Αρθρο</w:t>
            </w:r>
            <w:proofErr w:type="spellEnd"/>
          </w:p>
        </w:tc>
        <w:tc>
          <w:tcPr>
            <w:tcW w:w="4500" w:type="pct"/>
            <w:tcBorders>
              <w:top w:val="single" w:sz="18" w:space="0" w:color="DEE3E7"/>
              <w:left w:val="single" w:sz="6" w:space="0" w:color="EEEBE2"/>
              <w:bottom w:val="single" w:sz="6" w:space="0" w:color="EEEBE2"/>
              <w:right w:val="single" w:sz="18" w:space="0" w:color="DEE3E7"/>
            </w:tcBorders>
            <w:vAlign w:val="center"/>
            <w:hideMark/>
          </w:tcPr>
          <w:p w:rsidR="00DC5D23" w:rsidRPr="00DC5D23" w:rsidRDefault="00DC5D23" w:rsidP="00DC5D23">
            <w:pPr>
              <w:spacing w:after="0" w:line="240" w:lineRule="auto"/>
              <w:rPr>
                <w:rFonts w:ascii="Verdana" w:eastAsia="Times New Roman" w:hAnsi="Verdana" w:cs="Times New Roman"/>
                <w:b/>
                <w:bCs/>
                <w:color w:val="AD1C21"/>
                <w:sz w:val="15"/>
                <w:szCs w:val="15"/>
                <w:lang w:eastAsia="el-GR"/>
              </w:rPr>
            </w:pPr>
            <w:r w:rsidRPr="00DC5D23">
              <w:rPr>
                <w:rFonts w:ascii="Verdana" w:eastAsia="Times New Roman" w:hAnsi="Verdana" w:cs="Times New Roman"/>
                <w:b/>
                <w:bCs/>
                <w:color w:val="AD1C21"/>
                <w:sz w:val="15"/>
                <w:szCs w:val="15"/>
                <w:lang w:eastAsia="el-GR"/>
              </w:rPr>
              <w:t>46</w:t>
            </w:r>
          </w:p>
        </w:tc>
      </w:tr>
      <w:tr w:rsidR="00DC5D23" w:rsidRPr="00DC5D23" w:rsidTr="00DC5D23">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DC5D23" w:rsidRPr="00DC5D23" w:rsidRDefault="00DC5D23" w:rsidP="00DC5D23">
            <w:pPr>
              <w:spacing w:after="0" w:line="240" w:lineRule="auto"/>
              <w:rPr>
                <w:rFonts w:ascii="Verdana" w:eastAsia="Times New Roman" w:hAnsi="Verdana" w:cs="Times New Roman"/>
                <w:b/>
                <w:bCs/>
                <w:color w:val="000000"/>
                <w:sz w:val="15"/>
                <w:szCs w:val="15"/>
                <w:lang w:eastAsia="el-GR"/>
              </w:rPr>
            </w:pPr>
            <w:hyperlink r:id="rId4" w:history="1">
              <w:r w:rsidRPr="00DC5D23">
                <w:rPr>
                  <w:rFonts w:ascii="Verdana" w:eastAsia="Times New Roman" w:hAnsi="Verdana" w:cs="Times New Roman"/>
                  <w:b/>
                  <w:bCs/>
                  <w:color w:val="000000"/>
                  <w:sz w:val="15"/>
                  <w:szCs w:val="15"/>
                  <w:lang w:eastAsia="el-GR"/>
                </w:rPr>
                <w:t>Σύνδεση με Νομολογία και Αρθρογραφία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DC5D23" w:rsidRPr="00DC5D23" w:rsidRDefault="00DC5D23" w:rsidP="00DC5D23">
            <w:pPr>
              <w:spacing w:after="0" w:line="240" w:lineRule="auto"/>
              <w:rPr>
                <w:rFonts w:ascii="Verdana" w:eastAsia="Times New Roman" w:hAnsi="Verdana" w:cs="Times New Roman"/>
                <w:b/>
                <w:bCs/>
                <w:color w:val="000000"/>
                <w:sz w:val="15"/>
                <w:szCs w:val="15"/>
                <w:lang w:eastAsia="el-GR"/>
              </w:rPr>
            </w:pPr>
            <w:r w:rsidRPr="00DC5D23">
              <w:rPr>
                <w:rFonts w:ascii="Verdana" w:eastAsia="Times New Roman" w:hAnsi="Verdana" w:cs="Times New Roman"/>
                <w:b/>
                <w:bCs/>
                <w:color w:val="000000"/>
                <w:sz w:val="15"/>
                <w:szCs w:val="15"/>
                <w:lang w:eastAsia="el-GR"/>
              </w:rPr>
              <w:t>12</w:t>
            </w:r>
          </w:p>
        </w:tc>
      </w:tr>
      <w:tr w:rsidR="00DC5D23" w:rsidRPr="00DC5D23" w:rsidTr="00DC5D23">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DC5D23" w:rsidRPr="00DC5D23" w:rsidRDefault="00DC5D23" w:rsidP="00DC5D23">
            <w:pPr>
              <w:spacing w:after="0" w:line="240" w:lineRule="auto"/>
              <w:rPr>
                <w:rFonts w:ascii="Verdana" w:eastAsia="Times New Roman" w:hAnsi="Verdana" w:cs="Times New Roman"/>
                <w:b/>
                <w:bCs/>
                <w:color w:val="000000"/>
                <w:sz w:val="15"/>
                <w:szCs w:val="15"/>
                <w:lang w:eastAsia="el-GR"/>
              </w:rPr>
            </w:pPr>
            <w:hyperlink r:id="rId5" w:history="1">
              <w:r w:rsidRPr="00DC5D23">
                <w:rPr>
                  <w:rFonts w:ascii="Verdana" w:eastAsia="Times New Roman" w:hAnsi="Verdana" w:cs="Times New Roman"/>
                  <w:b/>
                  <w:bCs/>
                  <w:color w:val="000000"/>
                  <w:sz w:val="15"/>
                  <w:szCs w:val="15"/>
                  <w:lang w:eastAsia="el-GR"/>
                </w:rPr>
                <w:t xml:space="preserve">Κατά εξουσιοδότηση </w:t>
              </w:r>
              <w:proofErr w:type="spellStart"/>
              <w:r w:rsidRPr="00DC5D23">
                <w:rPr>
                  <w:rFonts w:ascii="Verdana" w:eastAsia="Times New Roman" w:hAnsi="Verdana" w:cs="Times New Roman"/>
                  <w:b/>
                  <w:bCs/>
                  <w:color w:val="000000"/>
                  <w:sz w:val="15"/>
                  <w:szCs w:val="15"/>
                  <w:lang w:eastAsia="el-GR"/>
                </w:rPr>
                <w:t>Εκδοθέντα</w:t>
              </w:r>
              <w:proofErr w:type="spellEnd"/>
              <w:r w:rsidRPr="00DC5D23">
                <w:rPr>
                  <w:rFonts w:ascii="Verdana" w:eastAsia="Times New Roman" w:hAnsi="Verdana" w:cs="Times New Roman"/>
                  <w:b/>
                  <w:bCs/>
                  <w:color w:val="000000"/>
                  <w:sz w:val="15"/>
                  <w:szCs w:val="15"/>
                  <w:lang w:eastAsia="el-GR"/>
                </w:rPr>
                <w:t xml:space="preserve"> και </w:t>
              </w:r>
              <w:proofErr w:type="spellStart"/>
              <w:r w:rsidRPr="00DC5D23">
                <w:rPr>
                  <w:rFonts w:ascii="Verdana" w:eastAsia="Times New Roman" w:hAnsi="Verdana" w:cs="Times New Roman"/>
                  <w:b/>
                  <w:bCs/>
                  <w:color w:val="000000"/>
                  <w:sz w:val="15"/>
                  <w:szCs w:val="15"/>
                  <w:lang w:eastAsia="el-GR"/>
                </w:rPr>
                <w:t>Εφαρμοστικά</w:t>
              </w:r>
              <w:proofErr w:type="spellEnd"/>
              <w:r w:rsidRPr="00DC5D23">
                <w:rPr>
                  <w:rFonts w:ascii="Verdana" w:eastAsia="Times New Roman" w:hAnsi="Verdana" w:cs="Times New Roman"/>
                  <w:b/>
                  <w:bCs/>
                  <w:color w:val="000000"/>
                  <w:sz w:val="15"/>
                  <w:szCs w:val="15"/>
                  <w:lang w:eastAsia="el-GR"/>
                </w:rPr>
                <w:t xml:space="preserve"> Νομοθετήματα</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DC5D23" w:rsidRPr="00DC5D23" w:rsidRDefault="00DC5D23" w:rsidP="00DC5D23">
            <w:pPr>
              <w:spacing w:after="0" w:line="240" w:lineRule="auto"/>
              <w:rPr>
                <w:rFonts w:ascii="Verdana" w:eastAsia="Times New Roman" w:hAnsi="Verdana" w:cs="Times New Roman"/>
                <w:b/>
                <w:bCs/>
                <w:color w:val="000000"/>
                <w:sz w:val="15"/>
                <w:szCs w:val="15"/>
                <w:lang w:eastAsia="el-GR"/>
              </w:rPr>
            </w:pPr>
            <w:r w:rsidRPr="00DC5D23">
              <w:rPr>
                <w:rFonts w:ascii="Verdana" w:eastAsia="Times New Roman" w:hAnsi="Verdana" w:cs="Times New Roman"/>
                <w:b/>
                <w:bCs/>
                <w:color w:val="000000"/>
                <w:sz w:val="15"/>
                <w:szCs w:val="15"/>
                <w:lang w:eastAsia="el-GR"/>
              </w:rPr>
              <w:t>75</w:t>
            </w:r>
          </w:p>
        </w:tc>
      </w:tr>
      <w:tr w:rsidR="00DC5D23" w:rsidRPr="00DC5D23" w:rsidTr="00DC5D23">
        <w:trPr>
          <w:tblCellSpacing w:w="0" w:type="dxa"/>
        </w:trPr>
        <w:tc>
          <w:tcPr>
            <w:tcW w:w="3000" w:type="pct"/>
            <w:tcBorders>
              <w:top w:val="single" w:sz="18" w:space="0" w:color="DEE3E7"/>
              <w:bottom w:val="single" w:sz="6" w:space="0" w:color="FFFFFF"/>
              <w:right w:val="single" w:sz="18" w:space="0" w:color="DEE3E7"/>
            </w:tcBorders>
            <w:shd w:val="clear" w:color="auto" w:fill="DEE3E7"/>
            <w:tcMar>
              <w:top w:w="15" w:type="dxa"/>
              <w:left w:w="30" w:type="dxa"/>
              <w:bottom w:w="0" w:type="dxa"/>
              <w:right w:w="0" w:type="dxa"/>
            </w:tcMar>
            <w:vAlign w:val="center"/>
            <w:hideMark/>
          </w:tcPr>
          <w:p w:rsidR="00DC5D23" w:rsidRPr="00DC5D23" w:rsidRDefault="00DC5D23" w:rsidP="00DC5D23">
            <w:pPr>
              <w:spacing w:after="0" w:line="240" w:lineRule="auto"/>
              <w:rPr>
                <w:rFonts w:ascii="Verdana" w:eastAsia="Times New Roman" w:hAnsi="Verdana" w:cs="Times New Roman"/>
                <w:b/>
                <w:bCs/>
                <w:color w:val="000000"/>
                <w:sz w:val="15"/>
                <w:szCs w:val="15"/>
                <w:lang w:eastAsia="el-GR"/>
              </w:rPr>
            </w:pPr>
            <w:hyperlink r:id="rId6" w:history="1">
              <w:proofErr w:type="spellStart"/>
              <w:r w:rsidRPr="00DC5D23">
                <w:rPr>
                  <w:rFonts w:ascii="Verdana" w:eastAsia="Times New Roman" w:hAnsi="Verdana" w:cs="Times New Roman"/>
                  <w:b/>
                  <w:bCs/>
                  <w:color w:val="000000"/>
                  <w:sz w:val="15"/>
                  <w:szCs w:val="15"/>
                  <w:lang w:eastAsia="el-GR"/>
                </w:rPr>
                <w:t>Προισχύσασες</w:t>
              </w:r>
              <w:proofErr w:type="spellEnd"/>
              <w:r w:rsidRPr="00DC5D23">
                <w:rPr>
                  <w:rFonts w:ascii="Verdana" w:eastAsia="Times New Roman" w:hAnsi="Verdana" w:cs="Times New Roman"/>
                  <w:b/>
                  <w:bCs/>
                  <w:color w:val="000000"/>
                  <w:sz w:val="15"/>
                  <w:szCs w:val="15"/>
                  <w:lang w:eastAsia="el-GR"/>
                </w:rPr>
                <w:t xml:space="preserve"> μορφές άρθρου</w:t>
              </w:r>
            </w:hyperlink>
          </w:p>
        </w:tc>
        <w:tc>
          <w:tcPr>
            <w:tcW w:w="0" w:type="auto"/>
            <w:tcBorders>
              <w:top w:val="single" w:sz="6" w:space="0" w:color="EEEBE2"/>
              <w:left w:val="single" w:sz="6" w:space="0" w:color="EEEBE2"/>
              <w:bottom w:val="single" w:sz="6" w:space="0" w:color="EEEBE2"/>
              <w:right w:val="single" w:sz="18" w:space="0" w:color="DEE3E7"/>
            </w:tcBorders>
            <w:vAlign w:val="center"/>
            <w:hideMark/>
          </w:tcPr>
          <w:p w:rsidR="00DC5D23" w:rsidRPr="00DC5D23" w:rsidRDefault="00DC5D23" w:rsidP="00DC5D23">
            <w:pPr>
              <w:spacing w:after="0" w:line="240" w:lineRule="auto"/>
              <w:rPr>
                <w:rFonts w:ascii="Verdana" w:eastAsia="Times New Roman" w:hAnsi="Verdana" w:cs="Times New Roman"/>
                <w:b/>
                <w:bCs/>
                <w:color w:val="000000"/>
                <w:sz w:val="15"/>
                <w:szCs w:val="15"/>
                <w:lang w:eastAsia="el-GR"/>
              </w:rPr>
            </w:pPr>
            <w:r w:rsidRPr="00DC5D23">
              <w:rPr>
                <w:rFonts w:ascii="Verdana" w:eastAsia="Times New Roman" w:hAnsi="Verdana" w:cs="Times New Roman"/>
                <w:b/>
                <w:bCs/>
                <w:color w:val="000000"/>
                <w:sz w:val="15"/>
                <w:szCs w:val="15"/>
                <w:lang w:eastAsia="el-GR"/>
              </w:rPr>
              <w:t>1</w:t>
            </w:r>
          </w:p>
        </w:tc>
      </w:tr>
    </w:tbl>
    <w:p w:rsidR="00DC5D23" w:rsidRPr="00DC5D23" w:rsidRDefault="00DC5D23" w:rsidP="00DC5D23">
      <w:pPr>
        <w:spacing w:after="0" w:line="240" w:lineRule="auto"/>
        <w:rPr>
          <w:rFonts w:ascii="Times New Roman" w:eastAsia="Times New Roman" w:hAnsi="Times New Roman" w:cs="Times New Roman"/>
          <w:sz w:val="24"/>
          <w:szCs w:val="24"/>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ΚΕΦΑΛΑΙΟ ΕΚΤΟ</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ΠΡΟΣΒΑΣΗ ΚΑΙ ΧΡΗΣΗ ΜΝΗΜΕΙΩΝ ΚΑΙ ΧΩΡΩΝ</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w:t>
      </w:r>
      <w:proofErr w:type="spellStart"/>
      <w:r w:rsidRPr="00DC5D23">
        <w:rPr>
          <w:rFonts w:ascii="Verdana" w:eastAsia="Times New Roman" w:hAnsi="Verdana" w:cs="Courier New"/>
          <w:color w:val="000000"/>
          <w:sz w:val="18"/>
          <w:szCs w:val="18"/>
          <w:lang w:eastAsia="el-GR"/>
        </w:rPr>
        <w:t>ρθρο</w:t>
      </w:r>
      <w:proofErr w:type="spellEnd"/>
      <w:r w:rsidRPr="00DC5D23">
        <w:rPr>
          <w:rFonts w:ascii="Verdana" w:eastAsia="Times New Roman" w:hAnsi="Verdana" w:cs="Courier New"/>
          <w:color w:val="000000"/>
          <w:sz w:val="18"/>
          <w:szCs w:val="18"/>
          <w:lang w:eastAsia="el-GR"/>
        </w:rPr>
        <w:t xml:space="preserve"> 46</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 xml:space="preserve"> «1. Με απόφαση του Υπουργού Πολιτισμού και Αθλητισμού, η οποία εκδίδεται ύστερα από γνώμη του αρμόδιου κατά περίπτωση Συμβουλίου, καθορίζονται, για το σύνολο ή κατηγορία οργανωμένων αρχαιολογικών χώρων, ιστορικών τόπων, ακινήτων μνημείων, μουσείων ή μεμονωμένα για σημαντικούς χώρους, ακίνητα μνημεία ή μουσεία: α) οι όροι και οι προϋποθέσεις επίσκεψης του κοινού σε αυτούς, β) οι πολιτιστικές ή άλλες εκδηλώσεις που μπορεί να πραγματοποιούνται σε αυτούς, συμβατές με το χαρακτήρα τους ως μνημείων, προστατευόμενων χώρων ή μουσείων και γ) οι όροι, οι προϋποθέσεις, η διαδικασία και το όργανο χορήγησης άδειας για την πραγματοποίηση εκδήλωσης ή για την παραχώρηση της χρήσης ενός ή περισσότερων αρχαιολογικών χώρων, ιστορικών τόπων, ακινήτων μνημείων ή μουσείων για την πραγματοποίηση πολιτιστικών ή άλλων εκδηλώσεων. Ως οργανωμένος αρχαιολογικός χώρος, ο οποίος μπορεί να είναι και ανασκαφικός χώρος, ορίζεται αυτός που ανήκει στην κυριότητα του Δημοσίου και αποτελεί αντικείμενο ιδιαίτερης μέριμνας για την ανάδειξη και προβολή του. Ένας αρχαιολογικός χώρος χαρακτηρίζεται ως οργανωμένος με απόφαση του Υπουργού Πολιτισμού και Αθλητισμού, η οποία εκδίδεται ύστερα από γνώμη του αρμόδιου κατά περίπτωση Συμβουλίου.</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 xml:space="preserve">   2. α. Η άδεια για την πραγματοποίηση πολιτιστικών ή άλλων εκδηλώσεων ή για την παραχώρηση της χρήσης μουσείων που ανήκουν στο Δημόσιο, ακινήτων μνημείων, οργανωμένων αρχαιολογικών χώρων και ιστορικών τόπων προκειμένου να πραγματοποιηθούν πολιτιστικές ή άλλες εκδηλώσεις χορηγείται έναντι τέλους που καταβάλλεται στο Ταμείο Αρχαιολογικών Πόρων και Απαλλοτριώσεων (Τ.Α.Π.). Με κοινή απόφαση των Υπουργών Οικονομικών και Πολιτισμού και Αθλητισμού καθορίζεται το ύψος του τέλους, καθώς και οι όροι και η διαδικασία απαλλαγής από την υποχρέωση καταβολής του για εκδηλώσεις μη κερδοσκοπικού χαρακτήρα.</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 xml:space="preserve">   2. β. Με άδεια της αρμόδιας κατά περίπτωση Υπηρεσίας επιτρέπεται η πρόσβαση ειδικών επιστημόνων σε κινητά μνημεία που βρίσκονται σε δημόσια μουσεία και αποθηκευτικούς χώρους υπό την εποπτεία της, με σκοπό τη φωτογράφιση ή την κινηματογράφηση, τη </w:t>
      </w:r>
      <w:bookmarkStart w:id="0" w:name="_GoBack"/>
      <w:bookmarkEnd w:id="0"/>
      <w:r w:rsidRPr="00DC5D23">
        <w:rPr>
          <w:rFonts w:ascii="Verdana" w:eastAsia="Times New Roman" w:hAnsi="Verdana" w:cs="Courier New"/>
          <w:color w:val="000000"/>
          <w:sz w:val="18"/>
          <w:szCs w:val="18"/>
          <w:lang w:eastAsia="el-GR"/>
        </w:rPr>
        <w:t>μελέτη ή τη δημοσίευσή τους, εφόσον δεν υπάρχει κίνδυνος να υποστούν φθορά τα μνημεία και με την επιφύλαξη του άρθρου 39 ως προς τα δικαιώματα δημοσίευσης.</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 xml:space="preserve">   3. Με κοινή απόφαση των Υπουργών Οικονομικών και Πολιτισμού και Αθλητισμού καθορίζεται το ύψος του αντιτίμου που καταβάλλεται από το κοινό για την επίσκεψη ιστορικών τόπων, οργανωμένων αρχαιολογικών χώρων, μνημείων και μουσείων που ανήκουν στο Δημόσιο. Με όμοια απόφαση ορίζονται οι γενικοί όροι και η διαδικασία απαλλαγής από την υποχρέωση καταβολής του ως άνω αντιτίμου.</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 xml:space="preserve">   4. Με απόφαση του Υπουργού Πολιτισμού και Αθλητισμού, η οποία εκδίδεται ύστερα από γνώμη του αρμόδιου κατά περίπτωση Συμβουλίου, καθορίζονται για φορείς ή πρόσωπα, πλην των υπηρεσιών του Υπουργείου Πολιτισμού και Αθλητισμού και του Τ.Α.Π., οι όροι, οι προϋποθέσεις, το όργανο και η διαδικασία χορήγησης άδειας παραγωγής, αναπαραγωγής και διάδοσης στο κοινό, με οποιονδήποτε τρόπο και μέσο, στα οποία συμπεριλαμβάνονται οι τεχνολογίες πληροφορικής και επικοινωνίας, αντιγράφων και απεικονίσεων (φωτογραφίες, </w:t>
      </w:r>
      <w:proofErr w:type="spellStart"/>
      <w:r w:rsidRPr="00DC5D23">
        <w:rPr>
          <w:rFonts w:ascii="Verdana" w:eastAsia="Times New Roman" w:hAnsi="Verdana" w:cs="Courier New"/>
          <w:color w:val="000000"/>
          <w:sz w:val="18"/>
          <w:szCs w:val="18"/>
          <w:lang w:eastAsia="el-GR"/>
        </w:rPr>
        <w:t>video</w:t>
      </w:r>
      <w:proofErr w:type="spellEnd"/>
      <w:r w:rsidRPr="00DC5D23">
        <w:rPr>
          <w:rFonts w:ascii="Verdana" w:eastAsia="Times New Roman" w:hAnsi="Verdana" w:cs="Courier New"/>
          <w:color w:val="000000"/>
          <w:sz w:val="18"/>
          <w:szCs w:val="18"/>
          <w:lang w:eastAsia="el-GR"/>
        </w:rPr>
        <w:t>) μνημείων που ανήκουν στο Δημόσιο ακινήτων που βρίσκονται σε αρχαιολογικούς χώρους και ιστορικούς τόπους ή είναι μεμονωμένα, καθώς και κινητών που βρίσκονται σε μουσεία ή συλλογές του Δημοσίου. Η σχετική άδεια χορηγείται σε φυσικά ή νομικά πρόσωπα έναντι τέλους που καταβάλλεται στο Τ.Α.Π. Τα αντίγραφα αυτά που διατίθενται στο κοινό, απαγορεύεται να φέρουν τη σφραγίδα του Τ.Α.Π. Η παραγωγή, αναπαραγωγή και διάδοση στο κοινό, για άμεσο ή έμμεσο οικονομικό ή εμπορικό σκοπό, αντιγράφων ή απεικονίσεων χωρίς άδεια τιμωρείται με την ποινή της παραγράφου 1 του άρθρου 66.</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 xml:space="preserve">   Η παραγωγή εκμαγείων και ακριβών αντιγράφων κινητών μνημείων που βρίσκονται σε μουσεία ή συλλογές του Δημοσίου πραγματοποιείται μόνον από το Τ.Α.Π. Το Τ.Α.Π. υποχρεούται να προμηθεύει απρόσκοπτα τα δημόσια μουσεία με ακριβή αντίγραφα, προκειμένου να εξυπηρετηθούν αποκλειστικά ερευνητικοί και επιστημονικοί σκοποί. Η παραγωγή εκμαγείων ή ακριβών αντιγράφων κινητών μνημείων συλλογών ή Μουσείων του Δημοσίου από άλλο πρόσωπο τιμωρείται με την ποινή της παραγράφου 1 του άρθρου 66 και τα ανωτέρω αντικείμενα κατάσχονται.</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lastRenderedPageBreak/>
        <w:t xml:space="preserve">   5. Με κοινή απόφαση των Υπουργών Οικονομικών και Πολιτισμού και Αθλητισμού καθορίζεται το ύψος του τέλους της προηγούμενης παραγράφου, οι διαδικασίες και ο τρόπος είσπραξής του, καθώς και κάθε άλλο σχετικό θέμα. Με όμοια απόφαση ορίζονται οι γενικοί όροι και η διαδικασία απαλλαγής από την υποχρέωση καταβολής του τέλους, όταν η άδεια χορηγείται για μη κερδοσκοπικούς σκοπούς".</w:t>
      </w: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C5D23" w:rsidRPr="00DC5D23" w:rsidRDefault="00DC5D23" w:rsidP="00DC5D2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C5D23">
        <w:rPr>
          <w:rFonts w:ascii="Verdana" w:eastAsia="Times New Roman" w:hAnsi="Verdana" w:cs="Courier New"/>
          <w:color w:val="000000"/>
          <w:sz w:val="18"/>
          <w:szCs w:val="18"/>
          <w:lang w:eastAsia="el-GR"/>
        </w:rPr>
        <w:t xml:space="preserve">    *** Με το άρθρο 27 του Ν.4447/2016  (ΦΕΚ Α` 241/23.12.2016) αντικαταστάθηκε το παρόν ως άνω.</w:t>
      </w:r>
    </w:p>
    <w:p w:rsidR="00750819" w:rsidRDefault="00750819"/>
    <w:p w:rsidR="00D10FFC" w:rsidRDefault="00D10FFC"/>
    <w:p w:rsidR="00D10FFC" w:rsidRDefault="00D10FFC"/>
    <w:tbl>
      <w:tblPr>
        <w:tblW w:w="16500" w:type="dxa"/>
        <w:tblCellSpacing w:w="7" w:type="dxa"/>
        <w:shd w:val="clear" w:color="auto" w:fill="FFFFFF"/>
        <w:tblCellMar>
          <w:left w:w="0" w:type="dxa"/>
          <w:right w:w="0" w:type="dxa"/>
        </w:tblCellMar>
        <w:tblLook w:val="04A0" w:firstRow="1" w:lastRow="0" w:firstColumn="1" w:lastColumn="0" w:noHBand="0" w:noVBand="1"/>
      </w:tblPr>
      <w:tblGrid>
        <w:gridCol w:w="16479"/>
        <w:gridCol w:w="21"/>
      </w:tblGrid>
      <w:tr w:rsidR="00D10FFC" w:rsidRPr="00D10FFC" w:rsidTr="00D10FFC">
        <w:trPr>
          <w:gridAfter w:val="1"/>
          <w:tblCellSpacing w:w="7" w:type="dxa"/>
        </w:trPr>
        <w:tc>
          <w:tcPr>
            <w:tcW w:w="0" w:type="auto"/>
            <w:tcBorders>
              <w:top w:val="single" w:sz="6" w:space="0" w:color="FFFFFF"/>
              <w:left w:val="single" w:sz="6" w:space="0" w:color="FFFFFF"/>
              <w:bottom w:val="single" w:sz="6" w:space="0" w:color="FFFFFF"/>
              <w:right w:val="single" w:sz="6" w:space="0" w:color="FFFFFF"/>
            </w:tcBorders>
            <w:shd w:val="clear" w:color="auto" w:fill="EFF1F1"/>
            <w:tcMar>
              <w:top w:w="30" w:type="dxa"/>
              <w:left w:w="30" w:type="dxa"/>
              <w:bottom w:w="30" w:type="dxa"/>
              <w:right w:w="30" w:type="dxa"/>
            </w:tcMar>
            <w:vAlign w:val="center"/>
            <w:hideMark/>
          </w:tcPr>
          <w:p w:rsidR="00D10FFC" w:rsidRPr="00D10FFC" w:rsidRDefault="00D10FFC" w:rsidP="00D10FFC">
            <w:pPr>
              <w:spacing w:after="0" w:line="240" w:lineRule="auto"/>
              <w:rPr>
                <w:rFonts w:ascii="Verdana" w:eastAsia="Times New Roman" w:hAnsi="Verdana" w:cs="Times New Roman"/>
                <w:color w:val="000000"/>
                <w:sz w:val="18"/>
                <w:szCs w:val="18"/>
                <w:lang w:eastAsia="el-GR"/>
              </w:rPr>
            </w:pPr>
            <w:hyperlink r:id="rId7" w:history="1">
              <w:r w:rsidRPr="00D10FFC">
                <w:rPr>
                  <w:rFonts w:ascii="Verdana" w:eastAsia="Times New Roman" w:hAnsi="Verdana" w:cs="Times New Roman"/>
                  <w:color w:val="000099"/>
                  <w:sz w:val="18"/>
                  <w:szCs w:val="18"/>
                  <w:shd w:val="clear" w:color="auto" w:fill="EFF1F1"/>
                  <w:lang w:eastAsia="el-GR"/>
                </w:rPr>
                <w:br/>
                <w:t>2011 Δ. ΚΑΛΛΙΝΙΚΟΥ - ΑΝΕΥ ΚΕΙΜΕΝΟΥ</w:t>
              </w:r>
            </w:hyperlink>
          </w:p>
        </w:tc>
      </w:tr>
      <w:tr w:rsidR="00D10FFC" w:rsidRPr="00D10FFC" w:rsidTr="00D10FFC">
        <w:trPr>
          <w:tblCellSpacing w:w="7" w:type="dxa"/>
        </w:trPr>
        <w:tc>
          <w:tcPr>
            <w:tcW w:w="0" w:type="auto"/>
            <w:gridSpan w:val="2"/>
            <w:shd w:val="clear" w:color="auto" w:fill="FFFFFF"/>
            <w:tcMar>
              <w:top w:w="30" w:type="dxa"/>
              <w:left w:w="30" w:type="dxa"/>
              <w:bottom w:w="30" w:type="dxa"/>
              <w:right w:w="30" w:type="dxa"/>
            </w:tcMar>
            <w:vAlign w:val="center"/>
            <w:hideMark/>
          </w:tcPr>
          <w:p w:rsidR="00D10FFC" w:rsidRPr="00D10FFC" w:rsidRDefault="00D10FFC" w:rsidP="00D10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10FFC">
              <w:rPr>
                <w:rFonts w:ascii="Verdana" w:eastAsia="Times New Roman" w:hAnsi="Verdana" w:cs="Courier New"/>
                <w:color w:val="000000"/>
                <w:sz w:val="18"/>
                <w:szCs w:val="18"/>
                <w:lang w:eastAsia="el-GR"/>
              </w:rPr>
              <w:t>(ΧΡΙΔ 2011/83)</w:t>
            </w:r>
          </w:p>
          <w:p w:rsidR="00D10FFC" w:rsidRPr="00D10FFC" w:rsidRDefault="00D10FFC" w:rsidP="00D10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10FFC">
              <w:rPr>
                <w:rFonts w:ascii="Verdana" w:eastAsia="Times New Roman" w:hAnsi="Verdana" w:cs="Courier New"/>
                <w:color w:val="000000"/>
                <w:sz w:val="18"/>
                <w:szCs w:val="18"/>
                <w:lang w:eastAsia="el-GR"/>
              </w:rPr>
              <w:t xml:space="preserve">Πνευματική ιδιοκτησία , </w:t>
            </w:r>
            <w:proofErr w:type="spellStart"/>
            <w:r w:rsidRPr="00D10FFC">
              <w:rPr>
                <w:rFonts w:ascii="Verdana" w:eastAsia="Times New Roman" w:hAnsi="Verdana" w:cs="Courier New"/>
                <w:color w:val="000000"/>
                <w:sz w:val="18"/>
                <w:szCs w:val="18"/>
                <w:lang w:eastAsia="el-GR"/>
              </w:rPr>
              <w:t>ψηφιοποίηση</w:t>
            </w:r>
            <w:proofErr w:type="spellEnd"/>
            <w:r w:rsidRPr="00D10FFC">
              <w:rPr>
                <w:rFonts w:ascii="Verdana" w:eastAsia="Times New Roman" w:hAnsi="Verdana" w:cs="Courier New"/>
                <w:color w:val="000000"/>
                <w:sz w:val="18"/>
                <w:szCs w:val="18"/>
                <w:lang w:eastAsia="el-GR"/>
              </w:rPr>
              <w:t xml:space="preserve"> μνημείων και ψηφιακές βιβλιοθήκες.</w:t>
            </w:r>
          </w:p>
          <w:p w:rsidR="00D10FFC" w:rsidRPr="00D10FFC" w:rsidRDefault="00D10FFC" w:rsidP="00D10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10FFC">
              <w:rPr>
                <w:rFonts w:ascii="Verdana" w:eastAsia="Times New Roman" w:hAnsi="Verdana" w:cs="Courier New"/>
                <w:color w:val="000000"/>
                <w:sz w:val="18"/>
                <w:szCs w:val="18"/>
                <w:lang w:eastAsia="el-GR"/>
              </w:rPr>
              <w:t xml:space="preserve">Μελέτη της Διονυσίας Καλλινίκου , Καθηγήτριας στο Πανεπιστήμιο Αθηνών , </w:t>
            </w:r>
          </w:p>
          <w:p w:rsidR="00D10FFC" w:rsidRPr="00D10FFC" w:rsidRDefault="00D10FFC" w:rsidP="00D10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10FFC">
              <w:rPr>
                <w:rFonts w:ascii="Verdana" w:eastAsia="Times New Roman" w:hAnsi="Verdana" w:cs="Courier New"/>
                <w:color w:val="000000"/>
                <w:sz w:val="18"/>
                <w:szCs w:val="18"/>
                <w:lang w:eastAsia="el-GR"/>
              </w:rPr>
              <w:t>δημοσιευμένη στο ΧΡΙΔ 2011,83.</w:t>
            </w:r>
          </w:p>
          <w:p w:rsidR="00D10FFC" w:rsidRPr="00D10FFC" w:rsidRDefault="00D10FFC" w:rsidP="00D10FFC">
            <w:pPr>
              <w:spacing w:after="0" w:line="240" w:lineRule="auto"/>
              <w:rPr>
                <w:rFonts w:ascii="Verdana" w:eastAsia="Times New Roman" w:hAnsi="Verdana" w:cs="Times New Roman"/>
                <w:color w:val="000000"/>
                <w:sz w:val="18"/>
                <w:szCs w:val="18"/>
                <w:lang w:eastAsia="el-GR"/>
              </w:rPr>
            </w:pPr>
          </w:p>
        </w:tc>
      </w:tr>
    </w:tbl>
    <w:p w:rsidR="00D10FFC" w:rsidRDefault="00D10FFC"/>
    <w:p w:rsidR="008F5525" w:rsidRDefault="008F5525"/>
    <w:p w:rsidR="008F5525" w:rsidRDefault="008F5525"/>
    <w:p w:rsidR="008F5525" w:rsidRDefault="008F5525"/>
    <w:sectPr w:rsidR="008F5525" w:rsidSect="007C57B8">
      <w:pgSz w:w="11906" w:h="16838"/>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23"/>
    <w:rsid w:val="00750819"/>
    <w:rsid w:val="007C57B8"/>
    <w:rsid w:val="008F5525"/>
    <w:rsid w:val="00B573EA"/>
    <w:rsid w:val="00D10FFC"/>
    <w:rsid w:val="00DC5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D0E8-3DCA-42E8-81A1-167520E4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C5D23"/>
    <w:rPr>
      <w:color w:val="0000FF"/>
      <w:u w:val="single"/>
    </w:rPr>
  </w:style>
  <w:style w:type="paragraph" w:styleId="-HTML">
    <w:name w:val="HTML Preformatted"/>
    <w:basedOn w:val="a"/>
    <w:link w:val="-HTMLChar"/>
    <w:uiPriority w:val="99"/>
    <w:semiHidden/>
    <w:unhideWhenUsed/>
    <w:rsid w:val="00DC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DC5D23"/>
    <w:rPr>
      <w:rFonts w:ascii="Courier New" w:eastAsia="Times New Roman" w:hAnsi="Courier New" w:cs="Courier New"/>
      <w:sz w:val="20"/>
      <w:szCs w:val="20"/>
      <w:lang w:eastAsia="el-GR"/>
    </w:rPr>
  </w:style>
  <w:style w:type="paragraph" w:styleId="a3">
    <w:name w:val="Balloon Text"/>
    <w:basedOn w:val="a"/>
    <w:link w:val="Char"/>
    <w:uiPriority w:val="99"/>
    <w:semiHidden/>
    <w:unhideWhenUsed/>
    <w:rsid w:val="007C57B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C5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4294">
      <w:bodyDiv w:val="1"/>
      <w:marLeft w:val="0"/>
      <w:marRight w:val="0"/>
      <w:marTop w:val="0"/>
      <w:marBottom w:val="0"/>
      <w:divBdr>
        <w:top w:val="none" w:sz="0" w:space="0" w:color="auto"/>
        <w:left w:val="none" w:sz="0" w:space="0" w:color="auto"/>
        <w:bottom w:val="none" w:sz="0" w:space="0" w:color="auto"/>
        <w:right w:val="none" w:sz="0" w:space="0" w:color="auto"/>
      </w:divBdr>
    </w:div>
    <w:div w:id="656418805">
      <w:bodyDiv w:val="1"/>
      <w:marLeft w:val="0"/>
      <w:marRight w:val="0"/>
      <w:marTop w:val="0"/>
      <w:marBottom w:val="0"/>
      <w:divBdr>
        <w:top w:val="none" w:sz="0" w:space="0" w:color="auto"/>
        <w:left w:val="none" w:sz="0" w:space="0" w:color="auto"/>
        <w:bottom w:val="none" w:sz="0" w:space="0" w:color="auto"/>
        <w:right w:val="none" w:sz="0" w:space="0" w:color="auto"/>
      </w:divBdr>
      <w:divsChild>
        <w:div w:id="1914118668">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open_next_rs('53662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oldver('312706','9','46')" TargetMode="External"/><Relationship Id="rId5" Type="http://schemas.openxmlformats.org/officeDocument/2006/relationships/hyperlink" Target="javascript:open_exous('312706','9','46')" TargetMode="External"/><Relationship Id="rId4" Type="http://schemas.openxmlformats.org/officeDocument/2006/relationships/hyperlink" Target="javascript:open_nomologia('312706','9','46')"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852</Words>
  <Characters>4606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Vagena</dc:creator>
  <cp:keywords/>
  <dc:description/>
  <cp:lastModifiedBy>Evangelia Vagena</cp:lastModifiedBy>
  <cp:revision>2</cp:revision>
  <cp:lastPrinted>2018-01-12T13:14:00Z</cp:lastPrinted>
  <dcterms:created xsi:type="dcterms:W3CDTF">2018-01-12T13:00:00Z</dcterms:created>
  <dcterms:modified xsi:type="dcterms:W3CDTF">2018-01-12T13:15:00Z</dcterms:modified>
</cp:coreProperties>
</file>